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DF" w:rsidRPr="00E12417" w:rsidRDefault="00E22ADF" w:rsidP="00E22ADF">
      <w:pPr>
        <w:tabs>
          <w:tab w:val="left" w:pos="2694"/>
          <w:tab w:val="left" w:pos="8399"/>
        </w:tabs>
        <w:autoSpaceDE w:val="0"/>
        <w:autoSpaceDN w:val="0"/>
        <w:adjustRightInd w:val="0"/>
        <w:rPr>
          <w:rFonts w:ascii="CG Omega" w:hAnsi="CG Omega"/>
          <w:smallCaps/>
          <w:noProof/>
          <w:sz w:val="24"/>
          <w:szCs w:val="24"/>
          <w:lang w:val="fr-BE"/>
        </w:rPr>
      </w:pPr>
      <w:r w:rsidRPr="00E12417">
        <w:rPr>
          <w:noProof/>
          <w:lang w:eastAsia="en-GB"/>
        </w:rPr>
        <w:drawing>
          <wp:anchor distT="0" distB="0" distL="114300" distR="114300" simplePos="0" relativeHeight="251658240" behindDoc="1" locked="0" layoutInCell="1" allowOverlap="1" wp14:anchorId="21E9DA4D" wp14:editId="23687020">
            <wp:simplePos x="0" y="0"/>
            <wp:positionH relativeFrom="column">
              <wp:posOffset>0</wp:posOffset>
            </wp:positionH>
            <wp:positionV relativeFrom="paragraph">
              <wp:posOffset>-209550</wp:posOffset>
            </wp:positionV>
            <wp:extent cx="1060450" cy="733425"/>
            <wp:effectExtent l="0" t="0" r="6350" b="9525"/>
            <wp:wrapTight wrapText="bothSides">
              <wp:wrapPolygon edited="0">
                <wp:start x="0" y="0"/>
                <wp:lineTo x="0" y="21319"/>
                <wp:lineTo x="21341" y="21319"/>
                <wp:lineTo x="213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0" cy="733425"/>
                    </a:xfrm>
                    <a:prstGeom prst="rect">
                      <a:avLst/>
                    </a:prstGeom>
                    <a:noFill/>
                  </pic:spPr>
                </pic:pic>
              </a:graphicData>
            </a:graphic>
            <wp14:sizeRelH relativeFrom="page">
              <wp14:pctWidth>0</wp14:pctWidth>
            </wp14:sizeRelH>
            <wp14:sizeRelV relativeFrom="page">
              <wp14:pctHeight>0</wp14:pctHeight>
            </wp14:sizeRelV>
          </wp:anchor>
        </w:drawing>
      </w:r>
      <w:r w:rsidRPr="00E12417">
        <w:rPr>
          <w:rFonts w:ascii="CG Omega" w:hAnsi="CG Omega"/>
          <w:noProof/>
          <w:sz w:val="24"/>
          <w:szCs w:val="24"/>
          <w:lang w:val="fr-BE"/>
        </w:rPr>
        <w:t xml:space="preserve">Groupe de Travail </w:t>
      </w:r>
      <w:r w:rsidRPr="00E12417">
        <w:rPr>
          <w:rFonts w:ascii="CG Omega" w:hAnsi="CG Omega"/>
          <w:smallCaps/>
          <w:noProof/>
          <w:sz w:val="24"/>
          <w:szCs w:val="24"/>
          <w:lang w:val="fr-BE"/>
        </w:rPr>
        <w:t>Stratégie Open Access Fédérale</w:t>
      </w:r>
    </w:p>
    <w:p w:rsidR="00E22ADF" w:rsidRPr="00E12417" w:rsidRDefault="00E22ADF" w:rsidP="00E22ADF">
      <w:pPr>
        <w:tabs>
          <w:tab w:val="left" w:pos="2694"/>
          <w:tab w:val="left" w:pos="8399"/>
        </w:tabs>
        <w:autoSpaceDE w:val="0"/>
        <w:autoSpaceDN w:val="0"/>
        <w:adjustRightInd w:val="0"/>
        <w:rPr>
          <w:rFonts w:ascii="CG Omega" w:hAnsi="CG Omega"/>
          <w:noProof/>
          <w:sz w:val="24"/>
          <w:szCs w:val="24"/>
          <w:lang w:val="nl-BE"/>
        </w:rPr>
      </w:pPr>
      <w:r w:rsidRPr="00E12417">
        <w:rPr>
          <w:rFonts w:ascii="CG Omega" w:hAnsi="CG Omega"/>
          <w:noProof/>
          <w:sz w:val="24"/>
          <w:szCs w:val="24"/>
          <w:lang w:val="nl-BE"/>
        </w:rPr>
        <w:t xml:space="preserve">Werkgroep </w:t>
      </w:r>
      <w:r w:rsidRPr="00E12417">
        <w:rPr>
          <w:rFonts w:ascii="CG Omega" w:hAnsi="CG Omega"/>
          <w:smallCaps/>
          <w:noProof/>
          <w:sz w:val="24"/>
          <w:szCs w:val="24"/>
          <w:lang w:val="nl-BE"/>
        </w:rPr>
        <w:t>Federale Open Access-Strategie</w:t>
      </w:r>
    </w:p>
    <w:p w:rsidR="00E22ADF" w:rsidRPr="00E12417" w:rsidRDefault="00E22ADF" w:rsidP="00E22ADF">
      <w:pPr>
        <w:widowControl w:val="0"/>
        <w:tabs>
          <w:tab w:val="left" w:pos="709"/>
          <w:tab w:val="left" w:pos="2694"/>
          <w:tab w:val="left" w:pos="8496"/>
        </w:tabs>
        <w:rPr>
          <w:rFonts w:ascii="CG Omega" w:hAnsi="CG Omega"/>
          <w:b/>
          <w:noProof/>
          <w:color w:val="E36C0A" w:themeColor="accent6" w:themeShade="BF"/>
          <w:sz w:val="24"/>
          <w:szCs w:val="24"/>
          <w:lang w:val="nl-BE"/>
        </w:rPr>
      </w:pPr>
      <w:r w:rsidRPr="00E12417">
        <w:rPr>
          <w:rFonts w:ascii="CG Omega" w:hAnsi="CG Omega"/>
          <w:b/>
          <w:noProof/>
          <w:color w:val="E36C0A" w:themeColor="accent6" w:themeShade="BF"/>
          <w:sz w:val="24"/>
          <w:szCs w:val="24"/>
          <w:lang w:val="nl-BE"/>
        </w:rPr>
        <w:t>____________________________________________</w:t>
      </w:r>
    </w:p>
    <w:p w:rsidR="00E22ADF" w:rsidRPr="00E12417" w:rsidRDefault="00E22ADF" w:rsidP="00E22ADF">
      <w:pPr>
        <w:tabs>
          <w:tab w:val="left" w:pos="2694"/>
        </w:tabs>
        <w:rPr>
          <w:rFonts w:ascii="CG Omega" w:hAnsi="CG Omega"/>
          <w:noProof/>
          <w:sz w:val="24"/>
          <w:szCs w:val="24"/>
          <w:lang w:val="nl-BE"/>
        </w:rPr>
      </w:pPr>
    </w:p>
    <w:p w:rsidR="00E22ADF" w:rsidRPr="00E12417" w:rsidRDefault="00E22ADF" w:rsidP="00E22ADF">
      <w:pPr>
        <w:tabs>
          <w:tab w:val="left" w:pos="2694"/>
        </w:tabs>
        <w:rPr>
          <w:rFonts w:ascii="CG Omega" w:hAnsi="CG Omega"/>
          <w:noProof/>
          <w:sz w:val="24"/>
          <w:szCs w:val="24"/>
          <w:lang w:val="nl-BE"/>
        </w:rPr>
      </w:pPr>
    </w:p>
    <w:p w:rsidR="00E22ADF" w:rsidRPr="00E12417" w:rsidRDefault="00E22ADF" w:rsidP="00E22ADF">
      <w:pPr>
        <w:tabs>
          <w:tab w:val="left" w:pos="2694"/>
        </w:tabs>
        <w:rPr>
          <w:rFonts w:ascii="CG Omega" w:hAnsi="CG Omega"/>
          <w:noProof/>
        </w:rPr>
      </w:pPr>
      <w:r w:rsidRPr="00E12417">
        <w:rPr>
          <w:rFonts w:ascii="CG Omega" w:hAnsi="CG Omega"/>
          <w:noProof/>
        </w:rPr>
        <w:t>Ref. : Strat OA 201</w:t>
      </w:r>
      <w:r w:rsidR="00B746D0" w:rsidRPr="00E12417">
        <w:rPr>
          <w:rFonts w:ascii="CG Omega" w:hAnsi="CG Omega"/>
          <w:noProof/>
        </w:rPr>
        <w:t>7</w:t>
      </w:r>
      <w:r w:rsidRPr="00E12417">
        <w:rPr>
          <w:rFonts w:ascii="CG Omega" w:hAnsi="CG Omega"/>
          <w:noProof/>
        </w:rPr>
        <w:t>-</w:t>
      </w:r>
      <w:r w:rsidR="004B2A2B">
        <w:rPr>
          <w:rFonts w:ascii="CG Omega" w:hAnsi="CG Omega"/>
          <w:noProof/>
        </w:rPr>
        <w:t>12</w:t>
      </w:r>
      <w:r w:rsidRPr="00E12417">
        <w:rPr>
          <w:rFonts w:ascii="CG Omega" w:hAnsi="CG Omega"/>
          <w:noProof/>
        </w:rPr>
        <w:t>-</w:t>
      </w:r>
      <w:r w:rsidR="004B2A2B">
        <w:rPr>
          <w:rFonts w:ascii="CG Omega" w:hAnsi="CG Omega"/>
          <w:noProof/>
        </w:rPr>
        <w:t>20</w:t>
      </w:r>
      <w:r w:rsidRPr="00E12417">
        <w:rPr>
          <w:rFonts w:ascii="CG Omega" w:hAnsi="CG Omega"/>
          <w:noProof/>
        </w:rPr>
        <w:t xml:space="preserve"> </w:t>
      </w:r>
      <w:r w:rsidR="00F57877" w:rsidRPr="00E12417">
        <w:rPr>
          <w:rFonts w:ascii="CG Omega" w:hAnsi="CG Omega"/>
          <w:noProof/>
        </w:rPr>
        <w:t>Doc E</w:t>
      </w:r>
      <w:r w:rsidR="005755A1" w:rsidRPr="00E12417">
        <w:rPr>
          <w:rFonts w:ascii="CG Omega" w:hAnsi="CG Omega"/>
          <w:noProof/>
        </w:rPr>
        <w:t>n</w:t>
      </w:r>
    </w:p>
    <w:p w:rsidR="00E22ADF" w:rsidRPr="00E12417" w:rsidRDefault="00E22ADF" w:rsidP="00E22ADF">
      <w:pPr>
        <w:tabs>
          <w:tab w:val="left" w:pos="2694"/>
        </w:tabs>
        <w:rPr>
          <w:rFonts w:ascii="CG Omega" w:hAnsi="CG Omega"/>
          <w:noProof/>
        </w:rPr>
      </w:pPr>
      <w:r w:rsidRPr="00E12417">
        <w:rPr>
          <w:rFonts w:ascii="CG Omega" w:hAnsi="CG Omega"/>
          <w:noProof/>
        </w:rPr>
        <w:t>D</w:t>
      </w:r>
      <w:r w:rsidR="005D76C1" w:rsidRPr="00E12417">
        <w:rPr>
          <w:rFonts w:ascii="CG Omega" w:hAnsi="CG Omega"/>
          <w:noProof/>
        </w:rPr>
        <w:t>ate</w:t>
      </w:r>
      <w:r w:rsidRPr="00E12417">
        <w:rPr>
          <w:rFonts w:ascii="CG Omega" w:hAnsi="CG Omega"/>
          <w:noProof/>
        </w:rPr>
        <w:t xml:space="preserve"> :</w:t>
      </w:r>
      <w:r w:rsidR="00F57877" w:rsidRPr="00E12417">
        <w:rPr>
          <w:rFonts w:ascii="CG Omega" w:hAnsi="CG Omega"/>
          <w:noProof/>
        </w:rPr>
        <w:t xml:space="preserve"> </w:t>
      </w:r>
      <w:r w:rsidR="004B2A2B">
        <w:rPr>
          <w:rFonts w:ascii="CG Omega" w:hAnsi="CG Omega"/>
          <w:noProof/>
        </w:rPr>
        <w:t>Decem</w:t>
      </w:r>
      <w:r w:rsidR="00E36467" w:rsidRPr="00E12417">
        <w:rPr>
          <w:rFonts w:ascii="CG Omega" w:hAnsi="CG Omega"/>
          <w:noProof/>
        </w:rPr>
        <w:t xml:space="preserve">ber </w:t>
      </w:r>
      <w:r w:rsidR="00BC1E11" w:rsidRPr="00E12417">
        <w:rPr>
          <w:rFonts w:ascii="CG Omega" w:hAnsi="CG Omega"/>
          <w:noProof/>
        </w:rPr>
        <w:t>2</w:t>
      </w:r>
      <w:r w:rsidR="004B2A2B">
        <w:rPr>
          <w:rFonts w:ascii="CG Omega" w:hAnsi="CG Omega"/>
          <w:noProof/>
        </w:rPr>
        <w:t>0</w:t>
      </w:r>
      <w:r w:rsidR="00B746D0" w:rsidRPr="00E12417">
        <w:rPr>
          <w:rFonts w:ascii="CG Omega" w:hAnsi="CG Omega"/>
          <w:noProof/>
        </w:rPr>
        <w:t>, 2017</w:t>
      </w:r>
    </w:p>
    <w:p w:rsidR="00E22ADF" w:rsidRPr="00E12417" w:rsidRDefault="00E22ADF" w:rsidP="00E22ADF">
      <w:pPr>
        <w:tabs>
          <w:tab w:val="left" w:pos="2694"/>
        </w:tabs>
        <w:rPr>
          <w:rFonts w:ascii="CG Omega" w:hAnsi="CG Omega"/>
          <w:noProof/>
          <w:sz w:val="24"/>
          <w:szCs w:val="24"/>
        </w:rPr>
      </w:pPr>
    </w:p>
    <w:p w:rsidR="00103ED5" w:rsidRPr="00E12417" w:rsidRDefault="00103ED5" w:rsidP="00103ED5">
      <w:pPr>
        <w:jc w:val="center"/>
        <w:rPr>
          <w:noProof/>
          <w:sz w:val="28"/>
        </w:rPr>
      </w:pPr>
      <w:r w:rsidRPr="00E12417">
        <w:rPr>
          <w:b/>
          <w:bCs/>
          <w:noProof/>
          <w:sz w:val="36"/>
          <w:szCs w:val="28"/>
        </w:rPr>
        <w:t xml:space="preserve">BELSPO Open Access </w:t>
      </w:r>
      <w:r w:rsidR="00B52125" w:rsidRPr="00E12417">
        <w:rPr>
          <w:b/>
          <w:bCs/>
          <w:noProof/>
          <w:sz w:val="36"/>
          <w:szCs w:val="28"/>
        </w:rPr>
        <w:t>P</w:t>
      </w:r>
      <w:r w:rsidR="00EB07E0">
        <w:rPr>
          <w:b/>
          <w:bCs/>
          <w:noProof/>
          <w:sz w:val="36"/>
          <w:szCs w:val="28"/>
        </w:rPr>
        <w:t>olicy</w:t>
      </w:r>
      <w:bookmarkStart w:id="0" w:name="_GoBack"/>
      <w:bookmarkEnd w:id="0"/>
    </w:p>
    <w:p w:rsidR="00103ED5" w:rsidRPr="00E12417" w:rsidRDefault="00103ED5" w:rsidP="00103ED5">
      <w:pPr>
        <w:rPr>
          <w:noProof/>
        </w:rPr>
      </w:pPr>
    </w:p>
    <w:p w:rsidR="00103ED5" w:rsidRPr="00E12417" w:rsidRDefault="00103ED5" w:rsidP="00103ED5">
      <w:pPr>
        <w:rPr>
          <w:noProof/>
        </w:rPr>
      </w:pPr>
    </w:p>
    <w:p w:rsidR="00103ED5" w:rsidRPr="00E12417" w:rsidRDefault="00103ED5" w:rsidP="00103ED5">
      <w:pPr>
        <w:rPr>
          <w:noProof/>
          <w:color w:val="00B050"/>
          <w:sz w:val="36"/>
        </w:rPr>
      </w:pPr>
      <w:r w:rsidRPr="00E12417">
        <w:rPr>
          <w:noProof/>
          <w:color w:val="00B050"/>
          <w:spacing w:val="40"/>
          <w:sz w:val="36"/>
        </w:rPr>
        <w:t xml:space="preserve">Policy </w:t>
      </w:r>
      <w:r w:rsidR="00B52125" w:rsidRPr="00E12417">
        <w:rPr>
          <w:noProof/>
          <w:color w:val="00B050"/>
          <w:spacing w:val="40"/>
          <w:sz w:val="36"/>
        </w:rPr>
        <w:t>F</w:t>
      </w:r>
      <w:r w:rsidRPr="00E12417">
        <w:rPr>
          <w:noProof/>
          <w:color w:val="00B050"/>
          <w:spacing w:val="40"/>
          <w:sz w:val="36"/>
        </w:rPr>
        <w:t>oundations</w:t>
      </w:r>
    </w:p>
    <w:p w:rsidR="00103ED5" w:rsidRPr="00E12417" w:rsidRDefault="00103ED5" w:rsidP="00103ED5">
      <w:pPr>
        <w:rPr>
          <w:noProof/>
        </w:rPr>
      </w:pPr>
    </w:p>
    <w:p w:rsidR="00103ED5" w:rsidRPr="00E12417" w:rsidRDefault="00103ED5" w:rsidP="00103ED5">
      <w:pPr>
        <w:jc w:val="both"/>
        <w:rPr>
          <w:noProof/>
        </w:rPr>
      </w:pPr>
      <w:r w:rsidRPr="00E12417">
        <w:rPr>
          <w:noProof/>
        </w:rPr>
        <w:t xml:space="preserve">In compliance with </w:t>
      </w:r>
      <w:r w:rsidRPr="00E12417">
        <w:rPr>
          <w:rFonts w:ascii="Verdana" w:hAnsi="Verdana" w:cs="Verdana"/>
          <w:noProof/>
          <w:color w:val="000000"/>
          <w:sz w:val="18"/>
          <w:szCs w:val="18"/>
        </w:rPr>
        <w:t>the Budapest Open Access Initiative</w:t>
      </w:r>
      <w:r w:rsidRPr="00E12417">
        <w:rPr>
          <w:rStyle w:val="FootnoteReference"/>
          <w:noProof/>
        </w:rPr>
        <w:endnoteReference w:id="1"/>
      </w:r>
      <w:r w:rsidRPr="00E12417">
        <w:rPr>
          <w:rFonts w:ascii="Verdana" w:hAnsi="Verdana" w:cs="Verdana"/>
          <w:noProof/>
          <w:color w:val="000000"/>
          <w:sz w:val="18"/>
          <w:szCs w:val="18"/>
        </w:rPr>
        <w:t>;</w:t>
      </w:r>
    </w:p>
    <w:p w:rsidR="00103ED5" w:rsidRPr="00E12417" w:rsidRDefault="00103ED5" w:rsidP="00103ED5">
      <w:pPr>
        <w:jc w:val="both"/>
        <w:rPr>
          <w:noProof/>
        </w:rPr>
      </w:pPr>
    </w:p>
    <w:p w:rsidR="00103ED5" w:rsidRPr="00E12417" w:rsidRDefault="00103ED5" w:rsidP="00103ED5">
      <w:pPr>
        <w:jc w:val="both"/>
        <w:rPr>
          <w:noProof/>
        </w:rPr>
      </w:pPr>
      <w:r w:rsidRPr="00E12417">
        <w:rPr>
          <w:noProof/>
        </w:rPr>
        <w:t xml:space="preserve">in compliance with </w:t>
      </w:r>
      <w:r w:rsidRPr="00E12417">
        <w:rPr>
          <w:rFonts w:ascii="Verdana" w:hAnsi="Verdana" w:cs="Verdana"/>
          <w:noProof/>
          <w:color w:val="000000"/>
          <w:sz w:val="18"/>
          <w:szCs w:val="18"/>
        </w:rPr>
        <w:t>the</w:t>
      </w:r>
      <w:r w:rsidRPr="00E12417">
        <w:rPr>
          <w:noProof/>
        </w:rPr>
        <w:t xml:space="preserve"> Berlin Declaration, signed by Flanders, the Wallonia-Brussels Federation and the Federal Administration on January 18, 2008</w:t>
      </w:r>
      <w:r w:rsidRPr="00E12417">
        <w:rPr>
          <w:rStyle w:val="FootnoteReference"/>
          <w:noProof/>
        </w:rPr>
        <w:endnoteReference w:id="2"/>
      </w:r>
      <w:r w:rsidRPr="00E12417">
        <w:rPr>
          <w:noProof/>
        </w:rPr>
        <w:t>;</w:t>
      </w:r>
    </w:p>
    <w:p w:rsidR="00103ED5" w:rsidRPr="00E12417" w:rsidRDefault="00103ED5" w:rsidP="00103ED5">
      <w:pPr>
        <w:jc w:val="both"/>
        <w:rPr>
          <w:noProof/>
        </w:rPr>
      </w:pPr>
    </w:p>
    <w:p w:rsidR="00103ED5" w:rsidRPr="00E12417" w:rsidRDefault="00103ED5" w:rsidP="00103ED5">
      <w:pPr>
        <w:jc w:val="both"/>
        <w:rPr>
          <w:noProof/>
        </w:rPr>
      </w:pPr>
      <w:r w:rsidRPr="00E12417">
        <w:rPr>
          <w:noProof/>
        </w:rPr>
        <w:t xml:space="preserve">in compliance with </w:t>
      </w:r>
      <w:r w:rsidRPr="00E12417">
        <w:rPr>
          <w:rFonts w:ascii="Verdana" w:hAnsi="Verdana" w:cs="Verdana"/>
          <w:noProof/>
          <w:color w:val="000000"/>
          <w:sz w:val="18"/>
          <w:szCs w:val="18"/>
        </w:rPr>
        <w:t>the</w:t>
      </w:r>
      <w:r w:rsidRPr="00E12417">
        <w:rPr>
          <w:noProof/>
        </w:rPr>
        <w:t xml:space="preserve"> </w:t>
      </w:r>
      <w:r w:rsidRPr="00E12417">
        <w:rPr>
          <w:rFonts w:ascii="Verdana" w:hAnsi="Verdana" w:cs="Verdana"/>
          <w:noProof/>
          <w:color w:val="000000"/>
          <w:sz w:val="18"/>
          <w:szCs w:val="18"/>
        </w:rPr>
        <w:t>European Commission's Recommendation of July 17, 2012 on access to and preservation of scientific information</w:t>
      </w:r>
      <w:r w:rsidRPr="00E12417">
        <w:rPr>
          <w:rStyle w:val="FootnoteReference"/>
          <w:noProof/>
        </w:rPr>
        <w:endnoteReference w:id="3"/>
      </w:r>
      <w:r w:rsidRPr="00E12417">
        <w:rPr>
          <w:rFonts w:ascii="Verdana" w:hAnsi="Verdana" w:cs="Verdana"/>
          <w:noProof/>
          <w:color w:val="000000"/>
          <w:sz w:val="18"/>
          <w:szCs w:val="18"/>
        </w:rPr>
        <w:t>;</w:t>
      </w:r>
    </w:p>
    <w:p w:rsidR="00103ED5" w:rsidRPr="00E12417" w:rsidRDefault="00103ED5" w:rsidP="00103ED5">
      <w:pPr>
        <w:jc w:val="both"/>
        <w:rPr>
          <w:noProof/>
        </w:rPr>
      </w:pPr>
    </w:p>
    <w:p w:rsidR="00103ED5" w:rsidRPr="00E12417" w:rsidRDefault="00103ED5" w:rsidP="00103ED5">
      <w:pPr>
        <w:jc w:val="both"/>
        <w:rPr>
          <w:noProof/>
        </w:rPr>
      </w:pPr>
      <w:r w:rsidRPr="00E12417">
        <w:rPr>
          <w:noProof/>
        </w:rPr>
        <w:t>in compliance with the Brussels Declaration on Open Access to Belgian publicly funded research, signed by the respective Science Policy Ministers of Flanders, the Wallonia-Brussels Federation and the Federal Administration on October 22, 2012</w:t>
      </w:r>
      <w:r w:rsidRPr="00E12417">
        <w:rPr>
          <w:noProof/>
          <w:vertAlign w:val="superscript"/>
        </w:rPr>
        <w:endnoteReference w:id="4"/>
      </w:r>
      <w:r w:rsidR="00E271B4" w:rsidRPr="00E12417">
        <w:rPr>
          <w:noProof/>
        </w:rPr>
        <w:t>;</w:t>
      </w:r>
    </w:p>
    <w:p w:rsidR="00103ED5" w:rsidRPr="00E12417" w:rsidRDefault="00103ED5" w:rsidP="00103ED5">
      <w:pPr>
        <w:jc w:val="both"/>
        <w:rPr>
          <w:noProof/>
        </w:rPr>
      </w:pPr>
    </w:p>
    <w:p w:rsidR="001A52D9" w:rsidRPr="00E12417" w:rsidRDefault="001A52D9" w:rsidP="00103ED5">
      <w:pPr>
        <w:jc w:val="both"/>
        <w:rPr>
          <w:noProof/>
        </w:rPr>
      </w:pPr>
      <w:r w:rsidRPr="00E12417">
        <w:rPr>
          <w:noProof/>
        </w:rPr>
        <w:t xml:space="preserve">in compliance with the </w:t>
      </w:r>
      <w:r w:rsidR="00490282" w:rsidRPr="00E12417">
        <w:rPr>
          <w:noProof/>
        </w:rPr>
        <w:t xml:space="preserve">2016 </w:t>
      </w:r>
      <w:r w:rsidRPr="00E12417">
        <w:rPr>
          <w:noProof/>
        </w:rPr>
        <w:t xml:space="preserve">European Research Area (ERA) </w:t>
      </w:r>
      <w:r w:rsidR="00566FD1" w:rsidRPr="00E12417">
        <w:rPr>
          <w:noProof/>
        </w:rPr>
        <w:t>Roadmap</w:t>
      </w:r>
      <w:r w:rsidR="00B43998" w:rsidRPr="00E12417">
        <w:rPr>
          <w:rStyle w:val="FootnoteReference"/>
          <w:noProof/>
        </w:rPr>
        <w:endnoteReference w:id="5"/>
      </w:r>
      <w:r w:rsidR="001733C6" w:rsidRPr="00E12417">
        <w:rPr>
          <w:noProof/>
        </w:rPr>
        <w:t>;</w:t>
      </w:r>
    </w:p>
    <w:p w:rsidR="001A52D9" w:rsidRPr="00E12417" w:rsidRDefault="001A52D9" w:rsidP="00103ED5">
      <w:pPr>
        <w:jc w:val="both"/>
        <w:rPr>
          <w:noProof/>
        </w:rPr>
      </w:pPr>
    </w:p>
    <w:p w:rsidR="00103ED5" w:rsidRPr="00E12417" w:rsidRDefault="00103ED5" w:rsidP="00103ED5">
      <w:pPr>
        <w:jc w:val="both"/>
        <w:rPr>
          <w:noProof/>
        </w:rPr>
      </w:pPr>
      <w:r w:rsidRPr="00E12417">
        <w:rPr>
          <w:noProof/>
        </w:rPr>
        <w:t>in compliance with the Government Agreement of October 11, 2014, which encourages digital diffusion and consultation;</w:t>
      </w:r>
    </w:p>
    <w:p w:rsidR="00103ED5" w:rsidRPr="00E12417" w:rsidRDefault="00103ED5" w:rsidP="00103ED5">
      <w:pPr>
        <w:jc w:val="both"/>
        <w:rPr>
          <w:noProof/>
        </w:rPr>
      </w:pPr>
    </w:p>
    <w:p w:rsidR="00103ED5" w:rsidRPr="00E12417" w:rsidRDefault="00103ED5" w:rsidP="00103ED5">
      <w:pPr>
        <w:jc w:val="both"/>
        <w:rPr>
          <w:noProof/>
        </w:rPr>
      </w:pPr>
      <w:r w:rsidRPr="00E12417">
        <w:rPr>
          <w:noProof/>
        </w:rPr>
        <w:t xml:space="preserve">in compliance with the Secretary of State for Science Policy’s general policy document of </w:t>
      </w:r>
      <w:r w:rsidR="0001516A" w:rsidRPr="00E12417">
        <w:rPr>
          <w:noProof/>
        </w:rPr>
        <w:t>Octo</w:t>
      </w:r>
      <w:r w:rsidRPr="00E12417">
        <w:rPr>
          <w:noProof/>
        </w:rPr>
        <w:t>ber 1</w:t>
      </w:r>
      <w:r w:rsidR="0001516A" w:rsidRPr="00E12417">
        <w:rPr>
          <w:noProof/>
        </w:rPr>
        <w:t>9</w:t>
      </w:r>
      <w:r w:rsidRPr="00E12417">
        <w:rPr>
          <w:noProof/>
        </w:rPr>
        <w:t>, 201</w:t>
      </w:r>
      <w:r w:rsidR="0001516A" w:rsidRPr="00E12417">
        <w:rPr>
          <w:noProof/>
        </w:rPr>
        <w:t>7</w:t>
      </w:r>
      <w:r w:rsidRPr="00E12417">
        <w:rPr>
          <w:rStyle w:val="FootnoteReference"/>
          <w:noProof/>
        </w:rPr>
        <w:endnoteReference w:id="6"/>
      </w:r>
      <w:r w:rsidRPr="00E12417">
        <w:rPr>
          <w:noProof/>
        </w:rPr>
        <w:t>;</w:t>
      </w:r>
    </w:p>
    <w:p w:rsidR="00103ED5" w:rsidRPr="00E12417" w:rsidRDefault="00103ED5" w:rsidP="00103ED5">
      <w:pPr>
        <w:jc w:val="both"/>
        <w:rPr>
          <w:noProof/>
        </w:rPr>
      </w:pPr>
    </w:p>
    <w:p w:rsidR="001A52D9" w:rsidRPr="00E12417" w:rsidRDefault="001A52D9" w:rsidP="00103ED5">
      <w:pPr>
        <w:jc w:val="both"/>
        <w:rPr>
          <w:noProof/>
        </w:rPr>
      </w:pPr>
      <w:r w:rsidRPr="00E12417">
        <w:rPr>
          <w:noProof/>
        </w:rPr>
        <w:t xml:space="preserve">in compliance with </w:t>
      </w:r>
      <w:r w:rsidR="00AE7DE9" w:rsidRPr="00E12417">
        <w:rPr>
          <w:noProof/>
        </w:rPr>
        <w:t xml:space="preserve">2016-2019 </w:t>
      </w:r>
      <w:r w:rsidRPr="00E12417">
        <w:rPr>
          <w:noProof/>
        </w:rPr>
        <w:t>BE</w:t>
      </w:r>
      <w:r w:rsidR="00E27931" w:rsidRPr="00E12417">
        <w:rPr>
          <w:noProof/>
        </w:rPr>
        <w:t>LSPO Administrative A</w:t>
      </w:r>
      <w:r w:rsidRPr="00E12417">
        <w:rPr>
          <w:noProof/>
        </w:rPr>
        <w:t>greement</w:t>
      </w:r>
      <w:r w:rsidR="00E27931" w:rsidRPr="00E12417">
        <w:rPr>
          <w:noProof/>
        </w:rPr>
        <w:t>, which emphasises the execution of the Government Agreement</w:t>
      </w:r>
      <w:r w:rsidR="00E27931" w:rsidRPr="00E12417">
        <w:rPr>
          <w:rStyle w:val="EndnoteReference"/>
          <w:noProof/>
        </w:rPr>
        <w:endnoteReference w:id="7"/>
      </w:r>
      <w:r w:rsidR="001733C6" w:rsidRPr="00E12417">
        <w:rPr>
          <w:noProof/>
        </w:rPr>
        <w:t>;</w:t>
      </w:r>
    </w:p>
    <w:p w:rsidR="001A52D9" w:rsidRPr="00E12417" w:rsidRDefault="001A52D9" w:rsidP="00103ED5">
      <w:pPr>
        <w:jc w:val="both"/>
        <w:rPr>
          <w:noProof/>
        </w:rPr>
      </w:pPr>
    </w:p>
    <w:p w:rsidR="00103ED5" w:rsidRPr="00E12417" w:rsidRDefault="00103ED5" w:rsidP="00103ED5">
      <w:pPr>
        <w:jc w:val="both"/>
        <w:rPr>
          <w:noProof/>
        </w:rPr>
      </w:pPr>
      <w:r w:rsidRPr="00E12417">
        <w:rPr>
          <w:noProof/>
        </w:rPr>
        <w:t>in compliance with the mission statement of the Federal Open Access Strategy Consultation Group, the purpose of which is to provide the Federal Administration with a clear policy for Open Access to publicly financed research;</w:t>
      </w:r>
    </w:p>
    <w:p w:rsidR="00103ED5" w:rsidRPr="00E12417" w:rsidRDefault="00103ED5" w:rsidP="00103ED5">
      <w:pPr>
        <w:jc w:val="both"/>
        <w:rPr>
          <w:noProof/>
        </w:rPr>
      </w:pPr>
    </w:p>
    <w:p w:rsidR="00103ED5" w:rsidRPr="00E12417" w:rsidRDefault="00103ED5" w:rsidP="00103ED5">
      <w:pPr>
        <w:jc w:val="both"/>
        <w:rPr>
          <w:noProof/>
        </w:rPr>
      </w:pPr>
      <w:r w:rsidRPr="00E12417">
        <w:rPr>
          <w:noProof/>
        </w:rPr>
        <w:t xml:space="preserve">and in consultation with the Interfederal Consultation Group CIS-CFS Open </w:t>
      </w:r>
      <w:r w:rsidR="00F943A8" w:rsidRPr="00E12417">
        <w:rPr>
          <w:noProof/>
        </w:rPr>
        <w:t>Science</w:t>
      </w:r>
      <w:r w:rsidRPr="00E12417">
        <w:rPr>
          <w:rStyle w:val="FootnoteReference"/>
          <w:noProof/>
        </w:rPr>
        <w:endnoteReference w:id="8"/>
      </w:r>
      <w:r w:rsidRPr="00E12417">
        <w:rPr>
          <w:noProof/>
        </w:rPr>
        <w:t>;</w:t>
      </w:r>
    </w:p>
    <w:p w:rsidR="00103ED5" w:rsidRPr="00E12417" w:rsidRDefault="00103ED5" w:rsidP="00103ED5">
      <w:pPr>
        <w:jc w:val="both"/>
        <w:rPr>
          <w:noProof/>
        </w:rPr>
      </w:pPr>
    </w:p>
    <w:p w:rsidR="00904682" w:rsidRDefault="00103ED5" w:rsidP="00B130E3">
      <w:pPr>
        <w:jc w:val="both"/>
        <w:rPr>
          <w:noProof/>
        </w:rPr>
      </w:pPr>
      <w:r w:rsidRPr="00E12417">
        <w:rPr>
          <w:noProof/>
        </w:rPr>
        <w:t>... the Federal Science Policy Office institutes the following general Open Access (OA) policy and mandate</w:t>
      </w:r>
      <w:r w:rsidR="00904682">
        <w:rPr>
          <w:noProof/>
        </w:rPr>
        <w:t xml:space="preserve"> for all of its organisations :</w:t>
      </w:r>
    </w:p>
    <w:p w:rsidR="00904682" w:rsidRDefault="00904682">
      <w:pPr>
        <w:spacing w:after="200" w:line="276" w:lineRule="auto"/>
        <w:rPr>
          <w:noProof/>
        </w:rPr>
      </w:pPr>
      <w:r>
        <w:rPr>
          <w:noProof/>
        </w:rPr>
        <w:br w:type="page"/>
      </w:r>
    </w:p>
    <w:p w:rsidR="00904682" w:rsidRPr="00E12417" w:rsidRDefault="00904682" w:rsidP="00B130E3">
      <w:pPr>
        <w:jc w:val="both"/>
        <w:rPr>
          <w:noProof/>
        </w:rPr>
      </w:pPr>
    </w:p>
    <w:p w:rsidR="00B130E3" w:rsidRPr="00E12417" w:rsidRDefault="00B130E3" w:rsidP="00B130E3">
      <w:pPr>
        <w:rPr>
          <w:noProof/>
          <w:color w:val="00B050"/>
          <w:sz w:val="36"/>
        </w:rPr>
      </w:pPr>
      <w:r w:rsidRPr="00E12417">
        <w:rPr>
          <w:noProof/>
          <w:color w:val="00B050"/>
          <w:spacing w:val="40"/>
          <w:sz w:val="36"/>
        </w:rPr>
        <w:t xml:space="preserve">Policy </w:t>
      </w:r>
      <w:r w:rsidR="00B52125" w:rsidRPr="00E12417">
        <w:rPr>
          <w:noProof/>
          <w:color w:val="00B050"/>
          <w:spacing w:val="40"/>
          <w:sz w:val="36"/>
        </w:rPr>
        <w:t>R</w:t>
      </w:r>
      <w:r w:rsidRPr="00E12417">
        <w:rPr>
          <w:noProof/>
          <w:color w:val="00B050"/>
          <w:spacing w:val="40"/>
          <w:sz w:val="36"/>
        </w:rPr>
        <w:t>ationale</w:t>
      </w:r>
    </w:p>
    <w:p w:rsidR="00B130E3" w:rsidRPr="00E12417" w:rsidRDefault="00B130E3" w:rsidP="00B130E3">
      <w:pPr>
        <w:pStyle w:val="ListParagraph"/>
        <w:ind w:left="0"/>
        <w:rPr>
          <w:noProof/>
        </w:rPr>
      </w:pPr>
    </w:p>
    <w:p w:rsidR="00B130E3" w:rsidRPr="00E12417" w:rsidRDefault="00B130E3" w:rsidP="00B130E3">
      <w:pPr>
        <w:pStyle w:val="ListParagraph"/>
        <w:ind w:left="0"/>
        <w:jc w:val="both"/>
        <w:rPr>
          <w:noProof/>
        </w:rPr>
      </w:pPr>
      <w:r w:rsidRPr="00E12417">
        <w:rPr>
          <w:noProof/>
        </w:rPr>
        <w:t>BELSPO is determined to make research results democratically available. As a public authority, it is committed to making society</w:t>
      </w:r>
      <w:r w:rsidR="00EC0435" w:rsidRPr="00E12417">
        <w:rPr>
          <w:noProof/>
        </w:rPr>
        <w:t xml:space="preserve"> </w:t>
      </w:r>
      <w:r w:rsidRPr="00E12417">
        <w:rPr>
          <w:noProof/>
        </w:rPr>
        <w:t>benefit fro</w:t>
      </w:r>
      <w:r w:rsidR="006D05A3" w:rsidRPr="00E12417">
        <w:rPr>
          <w:noProof/>
        </w:rPr>
        <w:t xml:space="preserve">m taxpayer funded activity. </w:t>
      </w:r>
      <w:r w:rsidRPr="00E12417">
        <w:rPr>
          <w:noProof/>
        </w:rPr>
        <w:t>BELSPO is equally determined to support the sustainability and the development of scientific research as is stated by the International Council for Science.</w:t>
      </w:r>
      <w:r w:rsidRPr="00E12417">
        <w:rPr>
          <w:rStyle w:val="EndnoteReference"/>
          <w:noProof/>
        </w:rPr>
        <w:endnoteReference w:id="9"/>
      </w:r>
      <w:r w:rsidRPr="00E12417">
        <w:rPr>
          <w:noProof/>
        </w:rPr>
        <w:t xml:space="preserve">  I</w:t>
      </w:r>
      <w:r w:rsidR="006D05A3" w:rsidRPr="00E12417">
        <w:rPr>
          <w:noProof/>
        </w:rPr>
        <w:t>n order to achieve these goals, BELSPO pursues</w:t>
      </w:r>
      <w:r w:rsidR="00C82CD9" w:rsidRPr="00E12417">
        <w:rPr>
          <w:noProof/>
        </w:rPr>
        <w:t xml:space="preserve"> Fair Gold OA on one hand and requir</w:t>
      </w:r>
      <w:r w:rsidR="006D05A3" w:rsidRPr="00E12417">
        <w:rPr>
          <w:noProof/>
        </w:rPr>
        <w:t>es</w:t>
      </w:r>
      <w:r w:rsidR="00C82CD9" w:rsidRPr="00E12417">
        <w:rPr>
          <w:noProof/>
        </w:rPr>
        <w:t xml:space="preserve"> </w:t>
      </w:r>
      <w:r w:rsidRPr="00E12417">
        <w:rPr>
          <w:noProof/>
        </w:rPr>
        <w:t>Green OA</w:t>
      </w:r>
      <w:r w:rsidR="00C82CD9" w:rsidRPr="00E12417">
        <w:rPr>
          <w:noProof/>
        </w:rPr>
        <w:t xml:space="preserve"> on the other </w:t>
      </w:r>
      <w:r w:rsidR="000C3288" w:rsidRPr="00E12417">
        <w:rPr>
          <w:noProof/>
        </w:rPr>
        <w:t>hand</w:t>
      </w:r>
      <w:r w:rsidR="006C55C7" w:rsidRPr="00E12417">
        <w:rPr>
          <w:noProof/>
        </w:rPr>
        <w:t>.</w:t>
      </w:r>
      <w:r w:rsidR="00151262" w:rsidRPr="00E12417">
        <w:rPr>
          <w:noProof/>
        </w:rPr>
        <w:t xml:space="preserve"> Gold OA to scientific publications is publisher provided and Green OA consists of archiving digital copies of scientific publications in </w:t>
      </w:r>
      <w:r w:rsidR="006D05A3" w:rsidRPr="00E12417">
        <w:rPr>
          <w:noProof/>
        </w:rPr>
        <w:t>institutional or thematic</w:t>
      </w:r>
      <w:r w:rsidR="00151262" w:rsidRPr="00E12417">
        <w:rPr>
          <w:noProof/>
        </w:rPr>
        <w:t xml:space="preserve"> repositories.</w:t>
      </w:r>
    </w:p>
    <w:p w:rsidR="00B130E3" w:rsidRPr="00E12417" w:rsidRDefault="00B130E3" w:rsidP="00B130E3">
      <w:pPr>
        <w:pStyle w:val="ListParagraph"/>
        <w:ind w:left="0"/>
        <w:jc w:val="both"/>
        <w:rPr>
          <w:noProof/>
        </w:rPr>
      </w:pPr>
    </w:p>
    <w:p w:rsidR="00B130E3" w:rsidRPr="00E12417" w:rsidRDefault="00C82CD9" w:rsidP="00B130E3">
      <w:pPr>
        <w:pStyle w:val="ListParagraph"/>
        <w:ind w:left="0"/>
        <w:jc w:val="both"/>
        <w:rPr>
          <w:noProof/>
        </w:rPr>
      </w:pPr>
      <w:r w:rsidRPr="00E12417">
        <w:rPr>
          <w:noProof/>
        </w:rPr>
        <w:t xml:space="preserve">Green OA is not just about archiving </w:t>
      </w:r>
      <w:r w:rsidR="004D0237" w:rsidRPr="00E12417">
        <w:rPr>
          <w:noProof/>
        </w:rPr>
        <w:t>research results</w:t>
      </w:r>
      <w:r w:rsidRPr="00E12417">
        <w:rPr>
          <w:noProof/>
        </w:rPr>
        <w:t xml:space="preserve">. It is a complement to Gold OA when Gold OA does not rise to </w:t>
      </w:r>
      <w:r w:rsidR="006D05A3" w:rsidRPr="00E12417">
        <w:rPr>
          <w:noProof/>
        </w:rPr>
        <w:t>the</w:t>
      </w:r>
      <w:r w:rsidRPr="00E12417">
        <w:rPr>
          <w:noProof/>
        </w:rPr>
        <w:t xml:space="preserve"> purpose</w:t>
      </w:r>
      <w:r w:rsidR="006D05A3" w:rsidRPr="00E12417">
        <w:rPr>
          <w:noProof/>
        </w:rPr>
        <w:t xml:space="preserve"> of dissemination and sustainability</w:t>
      </w:r>
      <w:r w:rsidRPr="00E12417">
        <w:rPr>
          <w:noProof/>
        </w:rPr>
        <w:t xml:space="preserve">, either by not being available or by being too expensive. </w:t>
      </w:r>
      <w:r w:rsidR="00B130E3" w:rsidRPr="00E12417">
        <w:rPr>
          <w:noProof/>
        </w:rPr>
        <w:t xml:space="preserve">Compelling researchers to deposit their research publications in institutional repositories has proven effective and practical for both institutions and researchers as has been shown in several universities in Belgium and abroad. OA now not only boasts higher citation levels than traditional publication, but Green OA </w:t>
      </w:r>
      <w:r w:rsidR="004D0237" w:rsidRPr="00E12417">
        <w:rPr>
          <w:noProof/>
        </w:rPr>
        <w:t>seems to be having</w:t>
      </w:r>
      <w:r w:rsidR="00B130E3" w:rsidRPr="00E12417">
        <w:rPr>
          <w:noProof/>
        </w:rPr>
        <w:t xml:space="preserve"> a higher citation level than Gold OA.</w:t>
      </w:r>
      <w:r w:rsidR="001B743B" w:rsidRPr="00E12417">
        <w:rPr>
          <w:rStyle w:val="EndnoteReference"/>
          <w:noProof/>
        </w:rPr>
        <w:endnoteReference w:id="10"/>
      </w:r>
      <w:r w:rsidR="001B743B" w:rsidRPr="00E12417">
        <w:rPr>
          <w:noProof/>
        </w:rPr>
        <w:t xml:space="preserve"> </w:t>
      </w:r>
      <w:r w:rsidR="00B130E3" w:rsidRPr="00E12417">
        <w:rPr>
          <w:noProof/>
        </w:rPr>
        <w:t xml:space="preserve">Moreover, ratings based on individual article citations are more valuable than journal based ratings. Green OA provides both researchers and institutions </w:t>
      </w:r>
      <w:r w:rsidR="00B43D71" w:rsidRPr="00E12417">
        <w:rPr>
          <w:noProof/>
        </w:rPr>
        <w:t xml:space="preserve">with </w:t>
      </w:r>
      <w:r w:rsidR="00B130E3" w:rsidRPr="00E12417">
        <w:rPr>
          <w:noProof/>
        </w:rPr>
        <w:t xml:space="preserve">visibility and excellent referencing with popular </w:t>
      </w:r>
      <w:r w:rsidR="00314EB2" w:rsidRPr="00E12417">
        <w:rPr>
          <w:noProof/>
        </w:rPr>
        <w:t>search engines</w:t>
      </w:r>
      <w:r w:rsidR="00B130E3" w:rsidRPr="00E12417">
        <w:rPr>
          <w:noProof/>
        </w:rPr>
        <w:t xml:space="preserve"> such as Google Scholar</w:t>
      </w:r>
      <w:r w:rsidR="00B130E3" w:rsidRPr="004B2A2B">
        <w:rPr>
          <w:noProof/>
        </w:rPr>
        <w:t xml:space="preserve">. </w:t>
      </w:r>
      <w:r w:rsidR="00F35DA6">
        <w:rPr>
          <w:noProof/>
        </w:rPr>
        <w:t>Indexing with Scopus, the reference citation and abstract portal, is guaranteed.</w:t>
      </w:r>
      <w:r w:rsidR="00B130E3" w:rsidRPr="004B2A2B">
        <w:rPr>
          <w:noProof/>
        </w:rPr>
        <w:t xml:space="preserve"> </w:t>
      </w:r>
      <w:r w:rsidR="00B130E3" w:rsidRPr="00E12417">
        <w:rPr>
          <w:noProof/>
        </w:rPr>
        <w:t xml:space="preserve">Institutions </w:t>
      </w:r>
      <w:r w:rsidR="00630B81" w:rsidRPr="00E12417">
        <w:rPr>
          <w:noProof/>
        </w:rPr>
        <w:t>moreover have a responsibility with regard to long</w:t>
      </w:r>
      <w:r w:rsidR="00B130E3" w:rsidRPr="00E12417">
        <w:rPr>
          <w:noProof/>
        </w:rPr>
        <w:t xml:space="preserve"> term heritage </w:t>
      </w:r>
      <w:r w:rsidR="00630B81" w:rsidRPr="00E12417">
        <w:rPr>
          <w:noProof/>
        </w:rPr>
        <w:t>conservation</w:t>
      </w:r>
      <w:r w:rsidR="00B130E3" w:rsidRPr="00E12417">
        <w:rPr>
          <w:noProof/>
        </w:rPr>
        <w:t xml:space="preserve">. State of the art sorting tools and the prospect of being able to produce up to date bibliographic lists at any time as well as the ability to publish post prints on line long before the publisher version is made available are considerable advantages. </w:t>
      </w:r>
      <w:r w:rsidR="00D0314F" w:rsidRPr="00E12417">
        <w:rPr>
          <w:noProof/>
        </w:rPr>
        <w:t>Increasingly, researchers and research institutions oppose overpriced journal subscriptions</w:t>
      </w:r>
      <w:r w:rsidR="007C5E6F" w:rsidRPr="00E12417">
        <w:rPr>
          <w:noProof/>
        </w:rPr>
        <w:t xml:space="preserve">. Shifting business models to </w:t>
      </w:r>
      <w:r w:rsidR="00D0314F" w:rsidRPr="00E12417">
        <w:rPr>
          <w:noProof/>
        </w:rPr>
        <w:t>Article Processing Charges (APC)</w:t>
      </w:r>
      <w:r w:rsidR="00513854" w:rsidRPr="00E12417">
        <w:rPr>
          <w:rStyle w:val="EndnoteReference"/>
          <w:noProof/>
        </w:rPr>
        <w:endnoteReference w:id="11"/>
      </w:r>
      <w:r w:rsidR="007C5E6F" w:rsidRPr="00E12417">
        <w:rPr>
          <w:noProof/>
        </w:rPr>
        <w:t xml:space="preserve"> for Gold OA </w:t>
      </w:r>
      <w:r w:rsidR="009B55E0" w:rsidRPr="00E12417">
        <w:rPr>
          <w:noProof/>
        </w:rPr>
        <w:t>might just pave the way to equally excessive pricing</w:t>
      </w:r>
      <w:r w:rsidR="007C5E6F" w:rsidRPr="00E12417">
        <w:rPr>
          <w:noProof/>
        </w:rPr>
        <w:t>. Through th</w:t>
      </w:r>
      <w:r w:rsidR="006C3601" w:rsidRPr="00E12417">
        <w:rPr>
          <w:noProof/>
        </w:rPr>
        <w:t xml:space="preserve">e following mandate BELSPO </w:t>
      </w:r>
      <w:r w:rsidR="007C5E6F" w:rsidRPr="00E12417">
        <w:rPr>
          <w:noProof/>
        </w:rPr>
        <w:t xml:space="preserve">therefore </w:t>
      </w:r>
      <w:r w:rsidR="004D0237" w:rsidRPr="00E12417">
        <w:rPr>
          <w:noProof/>
        </w:rPr>
        <w:t>commits to achieving</w:t>
      </w:r>
      <w:r w:rsidR="007C5E6F" w:rsidRPr="00E12417">
        <w:rPr>
          <w:noProof/>
        </w:rPr>
        <w:t xml:space="preserve"> Green OA</w:t>
      </w:r>
      <w:r w:rsidR="009B55E0" w:rsidRPr="00E12417">
        <w:rPr>
          <w:noProof/>
        </w:rPr>
        <w:t xml:space="preserve"> as a priority</w:t>
      </w:r>
      <w:r w:rsidR="007C5E6F" w:rsidRPr="00E12417">
        <w:rPr>
          <w:noProof/>
        </w:rPr>
        <w:t>.</w:t>
      </w:r>
      <w:r w:rsidR="004A1A2F" w:rsidRPr="00E12417">
        <w:rPr>
          <w:noProof/>
        </w:rPr>
        <w:t xml:space="preserve"> See annexes for additional recommendations and BELSPO initiatives.</w:t>
      </w:r>
    </w:p>
    <w:p w:rsidR="004C1301" w:rsidRPr="00E12417" w:rsidRDefault="004C1301" w:rsidP="00B130E3">
      <w:pPr>
        <w:pStyle w:val="ListParagraph"/>
        <w:ind w:left="0"/>
        <w:jc w:val="both"/>
        <w:rPr>
          <w:noProof/>
        </w:rPr>
      </w:pPr>
    </w:p>
    <w:p w:rsidR="00B130E3" w:rsidRPr="00E12417" w:rsidRDefault="004C1301" w:rsidP="00B130E3">
      <w:pPr>
        <w:pStyle w:val="ListParagraph"/>
        <w:ind w:left="0"/>
        <w:jc w:val="both"/>
        <w:rPr>
          <w:noProof/>
        </w:rPr>
      </w:pPr>
      <w:r w:rsidRPr="00E12417">
        <w:rPr>
          <w:noProof/>
        </w:rPr>
        <w:t xml:space="preserve">It should however be noted that the execution of this mandate will </w:t>
      </w:r>
      <w:r w:rsidR="006B4BE4" w:rsidRPr="00E12417">
        <w:rPr>
          <w:noProof/>
        </w:rPr>
        <w:t>be gradual, as described by the annexed BELSPO Open Access Roadmap. Mandate application will initially be</w:t>
      </w:r>
      <w:r w:rsidRPr="00E12417">
        <w:rPr>
          <w:noProof/>
        </w:rPr>
        <w:t xml:space="preserve"> tolerant, negotiated and adapted to every individual project partner’s specific needs and sensibilities. The mandate should therefore </w:t>
      </w:r>
      <w:r w:rsidR="004C38E2" w:rsidRPr="00E12417">
        <w:rPr>
          <w:noProof/>
        </w:rPr>
        <w:t>initial</w:t>
      </w:r>
      <w:r w:rsidRPr="00E12417">
        <w:rPr>
          <w:noProof/>
        </w:rPr>
        <w:t>ly be considered as a target</w:t>
      </w:r>
      <w:r w:rsidR="007A084E" w:rsidRPr="00E12417">
        <w:rPr>
          <w:noProof/>
        </w:rPr>
        <w:t xml:space="preserve"> </w:t>
      </w:r>
      <w:r w:rsidR="004C38E2" w:rsidRPr="00E12417">
        <w:rPr>
          <w:noProof/>
        </w:rPr>
        <w:t xml:space="preserve">(See Annex II) </w:t>
      </w:r>
      <w:r w:rsidR="007A084E" w:rsidRPr="00E12417">
        <w:rPr>
          <w:noProof/>
        </w:rPr>
        <w:t>rather than a set of strict regulations</w:t>
      </w:r>
      <w:r w:rsidR="00904682">
        <w:rPr>
          <w:noProof/>
        </w:rPr>
        <w:t>.</w:t>
      </w:r>
    </w:p>
    <w:p w:rsidR="00904682" w:rsidRDefault="00904682">
      <w:pPr>
        <w:spacing w:after="200" w:line="276" w:lineRule="auto"/>
        <w:rPr>
          <w:rFonts w:eastAsia="SimSun" w:cs="font306"/>
          <w:noProof/>
          <w:lang w:eastAsia="fa-IR" w:bidi="fa-IR"/>
        </w:rPr>
      </w:pPr>
      <w:r>
        <w:rPr>
          <w:noProof/>
        </w:rPr>
        <w:br w:type="page"/>
      </w:r>
    </w:p>
    <w:p w:rsidR="00A60700" w:rsidRPr="00E12417" w:rsidRDefault="00A60700" w:rsidP="00B130E3">
      <w:pPr>
        <w:pStyle w:val="ListParagraph"/>
        <w:ind w:left="0"/>
        <w:jc w:val="both"/>
        <w:rPr>
          <w:noProof/>
        </w:rPr>
      </w:pPr>
    </w:p>
    <w:p w:rsidR="00103ED5" w:rsidRPr="00E12417" w:rsidRDefault="00103ED5" w:rsidP="00103ED5">
      <w:pPr>
        <w:rPr>
          <w:noProof/>
          <w:sz w:val="24"/>
        </w:rPr>
      </w:pPr>
      <w:r w:rsidRPr="00E12417">
        <w:rPr>
          <w:noProof/>
          <w:color w:val="00B050"/>
          <w:spacing w:val="40"/>
          <w:sz w:val="36"/>
        </w:rPr>
        <w:t>Open Access Mandate</w:t>
      </w:r>
    </w:p>
    <w:p w:rsidR="00B92B91" w:rsidRPr="00E12417" w:rsidRDefault="00B92B91" w:rsidP="00103ED5">
      <w:pPr>
        <w:rPr>
          <w:noProof/>
          <w:sz w:val="24"/>
        </w:rPr>
      </w:pPr>
    </w:p>
    <w:p w:rsidR="004F2DEF" w:rsidRPr="00E12417" w:rsidRDefault="004F2DEF" w:rsidP="00454040">
      <w:pPr>
        <w:jc w:val="both"/>
        <w:rPr>
          <w:noProof/>
          <w:sz w:val="24"/>
        </w:rPr>
      </w:pPr>
      <w:r w:rsidRPr="00E12417">
        <w:rPr>
          <w:noProof/>
        </w:rPr>
        <w:t xml:space="preserve">Publications which emanate from research wholly or partially financed by BELSPO research programs or from research performed by the scientific staff as part of its assignment in </w:t>
      </w:r>
      <w:r w:rsidR="00C0433B" w:rsidRPr="00E12417">
        <w:rPr>
          <w:noProof/>
        </w:rPr>
        <w:t xml:space="preserve">federal science policy </w:t>
      </w:r>
      <w:r w:rsidRPr="00E12417">
        <w:rPr>
          <w:noProof/>
        </w:rPr>
        <w:t xml:space="preserve">organisations will be made available </w:t>
      </w:r>
      <w:r w:rsidR="008B7386" w:rsidRPr="00E12417">
        <w:rPr>
          <w:noProof/>
        </w:rPr>
        <w:t>in compliance with</w:t>
      </w:r>
      <w:r w:rsidRPr="00E12417">
        <w:rPr>
          <w:noProof/>
        </w:rPr>
        <w:t xml:space="preserve"> O</w:t>
      </w:r>
      <w:r w:rsidR="00010759" w:rsidRPr="00E12417">
        <w:rPr>
          <w:noProof/>
        </w:rPr>
        <w:t>A</w:t>
      </w:r>
      <w:r w:rsidRPr="00E12417">
        <w:rPr>
          <w:noProof/>
        </w:rPr>
        <w:t xml:space="preserve"> principles. </w:t>
      </w:r>
      <w:r w:rsidR="003E7A98" w:rsidRPr="00E12417">
        <w:rPr>
          <w:noProof/>
        </w:rPr>
        <w:t>The deposit</w:t>
      </w:r>
      <w:r w:rsidR="00010759" w:rsidRPr="00E12417">
        <w:rPr>
          <w:noProof/>
        </w:rPr>
        <w:t xml:space="preserve"> </w:t>
      </w:r>
      <w:r w:rsidR="003E7A98" w:rsidRPr="00E12417">
        <w:rPr>
          <w:noProof/>
        </w:rPr>
        <w:t>of a copy</w:t>
      </w:r>
      <w:r w:rsidR="00010759" w:rsidRPr="00E12417">
        <w:rPr>
          <w:noProof/>
        </w:rPr>
        <w:t xml:space="preserve"> of printed or on line publications</w:t>
      </w:r>
      <w:r w:rsidR="003E7A98" w:rsidRPr="00E12417">
        <w:rPr>
          <w:noProof/>
        </w:rPr>
        <w:t xml:space="preserve"> in a (Green) institutional OA repository</w:t>
      </w:r>
      <w:r w:rsidR="00010759" w:rsidRPr="00E12417">
        <w:rPr>
          <w:noProof/>
        </w:rPr>
        <w:t xml:space="preserve"> </w:t>
      </w:r>
      <w:r w:rsidR="003E7A98" w:rsidRPr="00E12417">
        <w:rPr>
          <w:noProof/>
        </w:rPr>
        <w:t xml:space="preserve">is </w:t>
      </w:r>
      <w:r w:rsidR="00010759" w:rsidRPr="00E12417">
        <w:rPr>
          <w:noProof/>
        </w:rPr>
        <w:t xml:space="preserve">compulsory (access to the content is optional). </w:t>
      </w:r>
      <w:r w:rsidR="003E7A98" w:rsidRPr="00E12417">
        <w:rPr>
          <w:noProof/>
        </w:rPr>
        <w:t>J</w:t>
      </w:r>
      <w:r w:rsidRPr="00E12417">
        <w:rPr>
          <w:noProof/>
        </w:rPr>
        <w:t>ournal provi</w:t>
      </w:r>
      <w:r w:rsidR="008B7386" w:rsidRPr="00E12417">
        <w:rPr>
          <w:noProof/>
        </w:rPr>
        <w:t>ded (Gold) OA</w:t>
      </w:r>
      <w:r w:rsidRPr="00E12417">
        <w:rPr>
          <w:noProof/>
        </w:rPr>
        <w:t xml:space="preserve"> </w:t>
      </w:r>
      <w:r w:rsidR="003E7A98" w:rsidRPr="00E12417">
        <w:rPr>
          <w:noProof/>
        </w:rPr>
        <w:t xml:space="preserve">is strongly recommended </w:t>
      </w:r>
      <w:r w:rsidRPr="00E12417">
        <w:rPr>
          <w:noProof/>
        </w:rPr>
        <w:t>if available</w:t>
      </w:r>
      <w:r w:rsidR="003E7A98" w:rsidRPr="00E12417">
        <w:rPr>
          <w:noProof/>
        </w:rPr>
        <w:t xml:space="preserve">, </w:t>
      </w:r>
      <w:r w:rsidR="008B7386" w:rsidRPr="00E12417">
        <w:rPr>
          <w:noProof/>
        </w:rPr>
        <w:t xml:space="preserve">subject to the following </w:t>
      </w:r>
      <w:r w:rsidR="00C80D85" w:rsidRPr="00E12417">
        <w:rPr>
          <w:noProof/>
        </w:rPr>
        <w:t>conditions</w:t>
      </w:r>
      <w:r w:rsidR="008B7386" w:rsidRPr="00E12417">
        <w:rPr>
          <w:noProof/>
        </w:rPr>
        <w:t xml:space="preserve"> :</w:t>
      </w:r>
    </w:p>
    <w:p w:rsidR="00C80D85" w:rsidRPr="00E12417" w:rsidRDefault="00C80D85" w:rsidP="00C80D85">
      <w:pPr>
        <w:jc w:val="both"/>
        <w:rPr>
          <w:noProof/>
        </w:rPr>
      </w:pPr>
    </w:p>
    <w:p w:rsidR="00C80D85" w:rsidRPr="00E12417" w:rsidRDefault="00C80D85" w:rsidP="00C80D85">
      <w:pPr>
        <w:jc w:val="both"/>
        <w:rPr>
          <w:smallCaps/>
          <w:noProof/>
          <w:color w:val="0000CC"/>
          <w:sz w:val="24"/>
        </w:rPr>
      </w:pPr>
      <w:r w:rsidRPr="00E12417">
        <w:rPr>
          <w:smallCaps/>
          <w:noProof/>
          <w:color w:val="0000CC"/>
          <w:sz w:val="24"/>
        </w:rPr>
        <w:t>Gold Open Access</w:t>
      </w:r>
    </w:p>
    <w:p w:rsidR="00C80D85" w:rsidRPr="00E12417" w:rsidRDefault="00C80D85" w:rsidP="00C80D85">
      <w:pPr>
        <w:jc w:val="both"/>
        <w:rPr>
          <w:noProof/>
        </w:rPr>
      </w:pPr>
    </w:p>
    <w:p w:rsidR="00C80D85" w:rsidRPr="00E12417" w:rsidRDefault="00C80D85" w:rsidP="00C80D85">
      <w:pPr>
        <w:jc w:val="both"/>
        <w:rPr>
          <w:noProof/>
        </w:rPr>
      </w:pPr>
      <w:r w:rsidRPr="00E12417">
        <w:rPr>
          <w:noProof/>
        </w:rPr>
        <w:t>BELSPO will contribute to researcher APC requirements for publication in OA journals. These APC can be paid out of BELSPO research grants under the following conditions :</w:t>
      </w:r>
    </w:p>
    <w:p w:rsidR="00C80D85" w:rsidRPr="00E12417" w:rsidRDefault="00C80D85" w:rsidP="00C80D85">
      <w:pPr>
        <w:jc w:val="both"/>
        <w:rPr>
          <w:noProof/>
        </w:rPr>
      </w:pPr>
    </w:p>
    <w:p w:rsidR="00C80D85" w:rsidRPr="00E12417" w:rsidRDefault="00C80D85" w:rsidP="00C80D85">
      <w:pPr>
        <w:numPr>
          <w:ilvl w:val="0"/>
          <w:numId w:val="10"/>
        </w:numPr>
        <w:suppressAutoHyphens/>
        <w:rPr>
          <w:noProof/>
        </w:rPr>
      </w:pPr>
      <w:r w:rsidRPr="00E12417">
        <w:rPr>
          <w:noProof/>
        </w:rPr>
        <w:t>Journals have to be listed in recognised online directories</w:t>
      </w:r>
      <w:r w:rsidRPr="00E12417">
        <w:rPr>
          <w:rStyle w:val="EndnoteReference"/>
          <w:noProof/>
        </w:rPr>
        <w:endnoteReference w:id="12"/>
      </w:r>
      <w:r w:rsidR="00D97F4F" w:rsidRPr="00E12417">
        <w:rPr>
          <w:noProof/>
        </w:rPr>
        <w:t xml:space="preserve"> that index high quality Open Access</w:t>
      </w:r>
      <w:r w:rsidRPr="00E12417">
        <w:rPr>
          <w:noProof/>
        </w:rPr>
        <w:t xml:space="preserve"> peer-reviewed journals.</w:t>
      </w:r>
      <w:r w:rsidRPr="00E12417">
        <w:rPr>
          <w:rStyle w:val="EndnoteReference"/>
          <w:noProof/>
        </w:rPr>
        <w:endnoteReference w:id="13"/>
      </w:r>
    </w:p>
    <w:p w:rsidR="00C80D85" w:rsidRPr="00E12417" w:rsidRDefault="00C80D85" w:rsidP="00C80D85">
      <w:pPr>
        <w:numPr>
          <w:ilvl w:val="0"/>
          <w:numId w:val="10"/>
        </w:numPr>
        <w:suppressAutoHyphens/>
        <w:jc w:val="both"/>
        <w:rPr>
          <w:noProof/>
        </w:rPr>
      </w:pPr>
      <w:r w:rsidRPr="00E12417">
        <w:rPr>
          <w:noProof/>
        </w:rPr>
        <w:t>In the case of books, collected volumes, proceedings and other academic publishing venues, basic technical information and peer review procedures have to be transparent on the website of the publishing venue.</w:t>
      </w:r>
    </w:p>
    <w:p w:rsidR="00C80D85" w:rsidRPr="00E12417" w:rsidRDefault="00893DA3" w:rsidP="00C80D85">
      <w:pPr>
        <w:numPr>
          <w:ilvl w:val="0"/>
          <w:numId w:val="10"/>
        </w:numPr>
        <w:suppressAutoHyphens/>
        <w:jc w:val="both"/>
        <w:rPr>
          <w:noProof/>
        </w:rPr>
      </w:pPr>
      <w:r w:rsidRPr="00E12417">
        <w:rPr>
          <w:noProof/>
        </w:rPr>
        <w:t>Journals</w:t>
      </w:r>
      <w:r w:rsidR="00C80D85" w:rsidRPr="00E12417">
        <w:rPr>
          <w:noProof/>
        </w:rPr>
        <w:t xml:space="preserve"> must meet the Principles of Transparency and Best Practice in Scholarly Publishing adopted jointly by the Committee on Publication Ethics, the Directory of Open Access Journals, the Open Access Scholarly Publishers Association, and the World Association of Medical Editors on December 19, 2013.</w:t>
      </w:r>
      <w:r w:rsidR="00C80D85" w:rsidRPr="00E12417">
        <w:rPr>
          <w:rStyle w:val="EndnoteReference"/>
          <w:noProof/>
        </w:rPr>
        <w:endnoteReference w:id="14"/>
      </w:r>
    </w:p>
    <w:p w:rsidR="00C80D85" w:rsidRPr="00E12417" w:rsidRDefault="00C80D85" w:rsidP="00C80D85">
      <w:pPr>
        <w:numPr>
          <w:ilvl w:val="0"/>
          <w:numId w:val="10"/>
        </w:numPr>
        <w:autoSpaceDE w:val="0"/>
        <w:autoSpaceDN w:val="0"/>
        <w:adjustRightInd w:val="0"/>
        <w:rPr>
          <w:noProof/>
        </w:rPr>
      </w:pPr>
      <w:r w:rsidRPr="00E12417">
        <w:rPr>
          <w:noProof/>
        </w:rPr>
        <w:t>The publisher must divulge the average APC paid for a specific journal to the funder.</w:t>
      </w:r>
    </w:p>
    <w:p w:rsidR="00C80D85" w:rsidRPr="00E12417" w:rsidRDefault="00C80D85" w:rsidP="00C80D85">
      <w:pPr>
        <w:numPr>
          <w:ilvl w:val="0"/>
          <w:numId w:val="10"/>
        </w:numPr>
        <w:suppressAutoHyphens/>
        <w:jc w:val="both"/>
        <w:rPr>
          <w:noProof/>
        </w:rPr>
      </w:pPr>
      <w:r w:rsidRPr="00E12417">
        <w:rPr>
          <w:noProof/>
        </w:rPr>
        <w:t xml:space="preserve">Maximum </w:t>
      </w:r>
      <w:r w:rsidR="00E22811" w:rsidRPr="00E12417">
        <w:rPr>
          <w:noProof/>
        </w:rPr>
        <w:t xml:space="preserve">grant </w:t>
      </w:r>
      <w:r w:rsidRPr="00E12417">
        <w:rPr>
          <w:noProof/>
        </w:rPr>
        <w:t>funds retrievable per article for full OA journals amount to 1300 €.</w:t>
      </w:r>
      <w:r w:rsidRPr="00E12417">
        <w:rPr>
          <w:rStyle w:val="EndnoteReference"/>
          <w:noProof/>
        </w:rPr>
        <w:endnoteReference w:id="15"/>
      </w:r>
      <w:r w:rsidR="006379C9" w:rsidRPr="00E12417">
        <w:rPr>
          <w:noProof/>
        </w:rPr>
        <w:t xml:space="preserve"> This amount</w:t>
      </w:r>
      <w:r w:rsidRPr="00E12417">
        <w:rPr>
          <w:noProof/>
        </w:rPr>
        <w:t xml:space="preserve"> can be adjusted per decision of the </w:t>
      </w:r>
      <w:r w:rsidR="00A63692" w:rsidRPr="00E12417">
        <w:rPr>
          <w:noProof/>
        </w:rPr>
        <w:t>Federal Open Access Strategy Committee</w:t>
      </w:r>
      <w:r w:rsidRPr="00E12417">
        <w:rPr>
          <w:noProof/>
        </w:rPr>
        <w:t>.</w:t>
      </w:r>
    </w:p>
    <w:p w:rsidR="00C80D85" w:rsidRPr="00E12417" w:rsidRDefault="00C80D85" w:rsidP="00C80D85">
      <w:pPr>
        <w:numPr>
          <w:ilvl w:val="0"/>
          <w:numId w:val="10"/>
        </w:numPr>
        <w:suppressAutoHyphens/>
        <w:jc w:val="both"/>
        <w:rPr>
          <w:noProof/>
        </w:rPr>
      </w:pPr>
      <w:r w:rsidRPr="00E12417">
        <w:rPr>
          <w:noProof/>
        </w:rPr>
        <w:t xml:space="preserve">Maximum </w:t>
      </w:r>
      <w:r w:rsidR="00E22811" w:rsidRPr="00E12417">
        <w:rPr>
          <w:noProof/>
        </w:rPr>
        <w:t xml:space="preserve">grant </w:t>
      </w:r>
      <w:r w:rsidRPr="00E12417">
        <w:rPr>
          <w:noProof/>
        </w:rPr>
        <w:t>funds retrievable for full OA monographs amount to 6000 €.</w:t>
      </w:r>
      <w:r w:rsidR="005E44E3" w:rsidRPr="00E12417">
        <w:rPr>
          <w:rStyle w:val="EndnoteReference"/>
          <w:noProof/>
        </w:rPr>
        <w:endnoteReference w:id="16"/>
      </w:r>
      <w:r w:rsidRPr="00E12417">
        <w:rPr>
          <w:noProof/>
        </w:rPr>
        <w:t xml:space="preserve"> This amount can be adjusted per decision of the </w:t>
      </w:r>
      <w:r w:rsidR="00A63692" w:rsidRPr="00E12417">
        <w:rPr>
          <w:noProof/>
        </w:rPr>
        <w:t>Federal Open Access Strategy Committee</w:t>
      </w:r>
      <w:r w:rsidRPr="00E12417">
        <w:rPr>
          <w:noProof/>
        </w:rPr>
        <w:t>.</w:t>
      </w:r>
      <w:r w:rsidR="005E44E3" w:rsidRPr="00E12417">
        <w:rPr>
          <w:rStyle w:val="EndnoteReference"/>
          <w:noProof/>
        </w:rPr>
        <w:t xml:space="preserve"> </w:t>
      </w:r>
    </w:p>
    <w:p w:rsidR="00C80D85" w:rsidRPr="00E12417" w:rsidRDefault="00C80D85" w:rsidP="00C80D85">
      <w:pPr>
        <w:numPr>
          <w:ilvl w:val="0"/>
          <w:numId w:val="10"/>
        </w:numPr>
        <w:suppressAutoHyphens/>
        <w:jc w:val="both"/>
        <w:rPr>
          <w:noProof/>
        </w:rPr>
      </w:pPr>
      <w:r w:rsidRPr="00E12417">
        <w:rPr>
          <w:noProof/>
        </w:rPr>
        <w:t>No funds may be retrieved for hybrid journals</w:t>
      </w:r>
      <w:r w:rsidRPr="00E12417">
        <w:rPr>
          <w:rStyle w:val="EndnoteReference"/>
          <w:noProof/>
        </w:rPr>
        <w:endnoteReference w:id="17"/>
      </w:r>
      <w:r w:rsidRPr="00E12417">
        <w:rPr>
          <w:noProof/>
        </w:rPr>
        <w:t xml:space="preserve"> unless the author can submit proof that 'double dipping' does not occur with any library under </w:t>
      </w:r>
      <w:r w:rsidR="00C0433B" w:rsidRPr="00E12417">
        <w:rPr>
          <w:noProof/>
        </w:rPr>
        <w:t>federal science policy administration</w:t>
      </w:r>
      <w:r w:rsidRPr="00E12417">
        <w:rPr>
          <w:noProof/>
        </w:rPr>
        <w:t>.</w:t>
      </w:r>
      <w:r w:rsidRPr="00E12417">
        <w:rPr>
          <w:rStyle w:val="EndnoteReference"/>
          <w:noProof/>
        </w:rPr>
        <w:endnoteReference w:id="18"/>
      </w:r>
      <w:r w:rsidRPr="00E12417">
        <w:rPr>
          <w:noProof/>
        </w:rPr>
        <w:t xml:space="preserve"> BELSPO will however support hybrid publishing of monographs.</w:t>
      </w:r>
    </w:p>
    <w:p w:rsidR="00C80D85" w:rsidRPr="00E12417" w:rsidRDefault="00C80D85" w:rsidP="00C80D85">
      <w:pPr>
        <w:numPr>
          <w:ilvl w:val="0"/>
          <w:numId w:val="10"/>
        </w:numPr>
        <w:suppressAutoHyphens/>
        <w:jc w:val="both"/>
        <w:rPr>
          <w:noProof/>
        </w:rPr>
      </w:pPr>
      <w:r w:rsidRPr="00E12417">
        <w:rPr>
          <w:noProof/>
        </w:rPr>
        <w:t>No funds may be retrieved for bundled APC deals at a fixed sum per timeframe.</w:t>
      </w:r>
      <w:r w:rsidR="00A360E8" w:rsidRPr="00E12417">
        <w:rPr>
          <w:rStyle w:val="EndnoteReference"/>
          <w:noProof/>
        </w:rPr>
        <w:endnoteReference w:id="19"/>
      </w:r>
    </w:p>
    <w:p w:rsidR="00C80D85" w:rsidRPr="00E12417" w:rsidRDefault="00C80D85" w:rsidP="00C80D85">
      <w:pPr>
        <w:numPr>
          <w:ilvl w:val="0"/>
          <w:numId w:val="10"/>
        </w:numPr>
        <w:suppressAutoHyphens/>
        <w:rPr>
          <w:noProof/>
        </w:rPr>
      </w:pPr>
      <w:r w:rsidRPr="00E12417">
        <w:rPr>
          <w:noProof/>
        </w:rPr>
        <w:t>Journals/publishers that have differential charges for Creative Commons (CC) licenses will not be eligible.</w:t>
      </w:r>
      <w:r w:rsidR="000D68C7" w:rsidRPr="00E12417">
        <w:rPr>
          <w:rStyle w:val="EndnoteReference"/>
          <w:noProof/>
        </w:rPr>
        <w:endnoteReference w:id="20"/>
      </w:r>
    </w:p>
    <w:p w:rsidR="00C80D85" w:rsidRPr="00E12417" w:rsidRDefault="00C80D85" w:rsidP="00C80D85">
      <w:pPr>
        <w:numPr>
          <w:ilvl w:val="0"/>
          <w:numId w:val="11"/>
        </w:numPr>
        <w:suppressAutoHyphens/>
        <w:rPr>
          <w:noProof/>
        </w:rPr>
      </w:pPr>
      <w:r w:rsidRPr="00E12417">
        <w:rPr>
          <w:noProof/>
        </w:rPr>
        <w:t>In case a publication is co-funded with other research funders, fair sharing of publishing funding must be pursued where applicable.</w:t>
      </w:r>
    </w:p>
    <w:p w:rsidR="004F2DEF" w:rsidRPr="00E12417" w:rsidRDefault="004F2DEF" w:rsidP="00103ED5">
      <w:pPr>
        <w:rPr>
          <w:noProof/>
          <w:sz w:val="24"/>
        </w:rPr>
      </w:pPr>
    </w:p>
    <w:p w:rsidR="00DA0AE0" w:rsidRPr="00E12417" w:rsidRDefault="00E516E2" w:rsidP="00103ED5">
      <w:pPr>
        <w:rPr>
          <w:smallCaps/>
          <w:noProof/>
          <w:color w:val="0000CC"/>
          <w:sz w:val="24"/>
        </w:rPr>
      </w:pPr>
      <w:r w:rsidRPr="00E12417">
        <w:rPr>
          <w:smallCaps/>
          <w:noProof/>
          <w:color w:val="0000CC"/>
          <w:sz w:val="24"/>
        </w:rPr>
        <w:t>Green Open access</w:t>
      </w:r>
    </w:p>
    <w:p w:rsidR="00DA0AE0" w:rsidRPr="00E12417" w:rsidRDefault="00DA0AE0" w:rsidP="00103ED5">
      <w:pPr>
        <w:rPr>
          <w:smallCaps/>
          <w:noProof/>
          <w:sz w:val="24"/>
        </w:rPr>
      </w:pPr>
    </w:p>
    <w:p w:rsidR="00252D99" w:rsidRPr="00E12417" w:rsidRDefault="00C63836" w:rsidP="00103ED5">
      <w:pPr>
        <w:rPr>
          <w:i/>
          <w:smallCaps/>
          <w:noProof/>
        </w:rPr>
      </w:pPr>
      <w:r w:rsidRPr="00E12417">
        <w:rPr>
          <w:i/>
          <w:smallCaps/>
          <w:noProof/>
        </w:rPr>
        <w:t>Publications</w:t>
      </w:r>
    </w:p>
    <w:p w:rsidR="00E516E2" w:rsidRPr="00E12417" w:rsidRDefault="00E516E2" w:rsidP="00103ED5">
      <w:pPr>
        <w:rPr>
          <w:smallCaps/>
          <w:noProof/>
        </w:rPr>
      </w:pPr>
    </w:p>
    <w:p w:rsidR="00F54C5C" w:rsidRPr="00E12417" w:rsidRDefault="00DA0AE0" w:rsidP="00F54C5C">
      <w:pPr>
        <w:jc w:val="both"/>
        <w:rPr>
          <w:noProof/>
        </w:rPr>
      </w:pPr>
      <w:r w:rsidRPr="00E12417">
        <w:rPr>
          <w:noProof/>
        </w:rPr>
        <w:t>Publications</w:t>
      </w:r>
      <w:r w:rsidR="00231825" w:rsidRPr="00E12417">
        <w:rPr>
          <w:noProof/>
        </w:rPr>
        <w:t xml:space="preserve">, or </w:t>
      </w:r>
      <w:r w:rsidRPr="00E12417">
        <w:rPr>
          <w:noProof/>
        </w:rPr>
        <w:t>edited research results which are destined for dissemination, comprising articles (pre-prints, post-prints or publisher versions), books, book chapters, catalogues, conference proceedings, reports, bachelor, master and doctoral theses, reviews, working papers</w:t>
      </w:r>
      <w:r w:rsidR="00E30428" w:rsidRPr="00E12417">
        <w:rPr>
          <w:noProof/>
        </w:rPr>
        <w:t xml:space="preserve"> </w:t>
      </w:r>
      <w:r w:rsidRPr="00E12417">
        <w:rPr>
          <w:noProof/>
        </w:rPr>
        <w:t>and lectures</w:t>
      </w:r>
      <w:r w:rsidR="00231825" w:rsidRPr="00E12417">
        <w:rPr>
          <w:noProof/>
        </w:rPr>
        <w:t xml:space="preserve"> </w:t>
      </w:r>
      <w:r w:rsidR="00FF0DEB" w:rsidRPr="00E12417">
        <w:rPr>
          <w:noProof/>
        </w:rPr>
        <w:t>(</w:t>
      </w:r>
      <w:r w:rsidR="00DE4EF7" w:rsidRPr="00E12417">
        <w:rPr>
          <w:noProof/>
        </w:rPr>
        <w:t xml:space="preserve">See </w:t>
      </w:r>
      <w:r w:rsidR="00CD3276" w:rsidRPr="00E12417">
        <w:rPr>
          <w:noProof/>
        </w:rPr>
        <w:t>Implementation</w:t>
      </w:r>
      <w:r w:rsidR="007A360E" w:rsidRPr="00E12417">
        <w:rPr>
          <w:noProof/>
        </w:rPr>
        <w:t xml:space="preserve"> Note</w:t>
      </w:r>
      <w:r w:rsidR="00DE4EF7" w:rsidRPr="00E12417">
        <w:rPr>
          <w:noProof/>
        </w:rPr>
        <w:t xml:space="preserve"> 1</w:t>
      </w:r>
      <w:r w:rsidR="00FF0DEB" w:rsidRPr="00E12417">
        <w:rPr>
          <w:noProof/>
        </w:rPr>
        <w:t xml:space="preserve">) </w:t>
      </w:r>
      <w:r w:rsidR="00231825" w:rsidRPr="00E12417">
        <w:rPr>
          <w:noProof/>
        </w:rPr>
        <w:t>will be deposited in an OA repository</w:t>
      </w:r>
      <w:r w:rsidR="00E271B4" w:rsidRPr="00E12417">
        <w:rPr>
          <w:noProof/>
        </w:rPr>
        <w:t>, such as BELSPO's central Orfeo repository</w:t>
      </w:r>
      <w:r w:rsidR="00644FA0" w:rsidRPr="00E12417">
        <w:rPr>
          <w:rStyle w:val="EndnoteReference"/>
          <w:noProof/>
        </w:rPr>
        <w:endnoteReference w:id="21"/>
      </w:r>
      <w:r w:rsidR="00E271B4" w:rsidRPr="00E12417">
        <w:rPr>
          <w:noProof/>
        </w:rPr>
        <w:t>,</w:t>
      </w:r>
      <w:r w:rsidR="00231825" w:rsidRPr="00E12417">
        <w:rPr>
          <w:noProof/>
        </w:rPr>
        <w:t xml:space="preserve"> on an ID/OA (im</w:t>
      </w:r>
      <w:r w:rsidR="00231825" w:rsidRPr="00E12417">
        <w:rPr>
          <w:rFonts w:ascii="Arial" w:hAnsi="Arial" w:cs="Arial"/>
          <w:noProof/>
          <w:sz w:val="20"/>
          <w:szCs w:val="20"/>
        </w:rPr>
        <w:t>mediate deposit – optional access) basis.</w:t>
      </w:r>
      <w:r w:rsidR="00231825" w:rsidRPr="00E12417">
        <w:rPr>
          <w:noProof/>
        </w:rPr>
        <w:t xml:space="preserve"> (Green OA)</w:t>
      </w:r>
      <w:r w:rsidR="006111AC" w:rsidRPr="00E12417">
        <w:rPr>
          <w:rStyle w:val="EndnoteReference"/>
          <w:noProof/>
        </w:rPr>
        <w:endnoteReference w:id="22"/>
      </w:r>
      <w:r w:rsidR="000815CF" w:rsidRPr="00E12417">
        <w:rPr>
          <w:noProof/>
        </w:rPr>
        <w:t xml:space="preserve"> : t</w:t>
      </w:r>
      <w:r w:rsidR="00231825" w:rsidRPr="00E12417">
        <w:rPr>
          <w:noProof/>
        </w:rPr>
        <w:t>he deposit of the publication’s reference, metadata</w:t>
      </w:r>
      <w:r w:rsidR="00231825" w:rsidRPr="00E12417">
        <w:rPr>
          <w:rStyle w:val="EndnoteReference"/>
          <w:noProof/>
        </w:rPr>
        <w:endnoteReference w:id="23"/>
      </w:r>
      <w:r w:rsidR="00231825" w:rsidRPr="00E12417">
        <w:rPr>
          <w:noProof/>
        </w:rPr>
        <w:t xml:space="preserve"> and full text</w:t>
      </w:r>
      <w:r w:rsidR="000815CF" w:rsidRPr="00E12417">
        <w:rPr>
          <w:noProof/>
        </w:rPr>
        <w:t xml:space="preserve"> is compulsory</w:t>
      </w:r>
      <w:r w:rsidR="00231825" w:rsidRPr="00E12417">
        <w:rPr>
          <w:noProof/>
        </w:rPr>
        <w:t xml:space="preserve">, even if true Open Access is not possible due to </w:t>
      </w:r>
      <w:r w:rsidR="00F54C5C" w:rsidRPr="00E12417">
        <w:rPr>
          <w:noProof/>
        </w:rPr>
        <w:t>exceptional</w:t>
      </w:r>
      <w:r w:rsidR="00231825" w:rsidRPr="00E12417">
        <w:rPr>
          <w:noProof/>
        </w:rPr>
        <w:t xml:space="preserve"> protection or embargo</w:t>
      </w:r>
      <w:r w:rsidR="000815CF" w:rsidRPr="00E12417">
        <w:rPr>
          <w:noProof/>
        </w:rPr>
        <w:t>es as detailed below</w:t>
      </w:r>
      <w:r w:rsidR="00231825" w:rsidRPr="00E12417">
        <w:rPr>
          <w:noProof/>
        </w:rPr>
        <w:t>.</w:t>
      </w:r>
      <w:r w:rsidR="00F54C5C" w:rsidRPr="00E12417">
        <w:rPr>
          <w:noProof/>
        </w:rPr>
        <w:t xml:space="preserve"> Exceptional protection may be required for quality, strategic, security, commercial (patent-related) or privacy reasons approved </w:t>
      </w:r>
      <w:r w:rsidR="00F54C5C" w:rsidRPr="00E12417">
        <w:rPr>
          <w:noProof/>
        </w:rPr>
        <w:lastRenderedPageBreak/>
        <w:t>by the Orfeo Committee.</w:t>
      </w:r>
      <w:r w:rsidR="004B4BE2" w:rsidRPr="00E12417">
        <w:rPr>
          <w:rStyle w:val="EndnoteReference"/>
          <w:noProof/>
        </w:rPr>
        <w:endnoteReference w:id="24"/>
      </w:r>
      <w:r w:rsidR="00F54C5C" w:rsidRPr="00E12417">
        <w:rPr>
          <w:noProof/>
        </w:rPr>
        <w:t xml:space="preserve"> This will not prevent said deposits from being available in full text to the Orfeo administration staff at both BELSPO and implicated research institutions through intranet (with login and password) under the legal exception of public communication for teaching and scientific research.</w:t>
      </w:r>
    </w:p>
    <w:p w:rsidR="00103ED5" w:rsidRPr="00E12417" w:rsidRDefault="00103ED5" w:rsidP="00103ED5">
      <w:pPr>
        <w:jc w:val="both"/>
        <w:rPr>
          <w:noProof/>
        </w:rPr>
      </w:pPr>
    </w:p>
    <w:p w:rsidR="00103ED5" w:rsidRPr="00E12417" w:rsidRDefault="00F54C5C" w:rsidP="00103ED5">
      <w:pPr>
        <w:autoSpaceDE w:val="0"/>
        <w:autoSpaceDN w:val="0"/>
        <w:adjustRightInd w:val="0"/>
        <w:jc w:val="both"/>
        <w:rPr>
          <w:noProof/>
        </w:rPr>
      </w:pPr>
      <w:r w:rsidRPr="00E12417">
        <w:rPr>
          <w:noProof/>
        </w:rPr>
        <w:t>I</w:t>
      </w:r>
      <w:r w:rsidR="00A360E8" w:rsidRPr="00E12417">
        <w:rPr>
          <w:noProof/>
        </w:rPr>
        <w:t>f</w:t>
      </w:r>
      <w:r w:rsidRPr="00E12417">
        <w:rPr>
          <w:noProof/>
        </w:rPr>
        <w:t xml:space="preserve"> no protection or embargo applies</w:t>
      </w:r>
      <w:r w:rsidR="002A0DBF" w:rsidRPr="00E12417">
        <w:rPr>
          <w:noProof/>
        </w:rPr>
        <w:t>, d</w:t>
      </w:r>
      <w:r w:rsidR="00103ED5" w:rsidRPr="00E12417">
        <w:rPr>
          <w:noProof/>
        </w:rPr>
        <w:t>eposited publications will freely and irrevocably be made accessible to the public to be read, downloaded and printed, but also to be copied, distributed, searched, linked, crawled and mined and to make and distribute derivative works, in any digital medium for any responsible purpose, subject to proper attribution of authorship.</w:t>
      </w:r>
    </w:p>
    <w:p w:rsidR="00103ED5" w:rsidRPr="00E12417" w:rsidRDefault="00103ED5" w:rsidP="00103ED5">
      <w:pPr>
        <w:jc w:val="both"/>
        <w:rPr>
          <w:noProof/>
        </w:rPr>
      </w:pPr>
    </w:p>
    <w:p w:rsidR="00103ED5" w:rsidRPr="00E12417" w:rsidRDefault="00103ED5" w:rsidP="00103ED5">
      <w:pPr>
        <w:jc w:val="both"/>
        <w:rPr>
          <w:noProof/>
        </w:rPr>
      </w:pPr>
      <w:r w:rsidRPr="00E12417">
        <w:rPr>
          <w:noProof/>
        </w:rPr>
        <w:t>It is required that all said publications be deposited</w:t>
      </w:r>
      <w:r w:rsidR="002A0DBF" w:rsidRPr="00E12417">
        <w:rPr>
          <w:noProof/>
        </w:rPr>
        <w:t>, either</w:t>
      </w:r>
      <w:r w:rsidRPr="00E12417">
        <w:rPr>
          <w:noProof/>
        </w:rPr>
        <w:t xml:space="preserve"> in BELSPO’s central Orfeo institutional OA </w:t>
      </w:r>
      <w:r w:rsidR="009A4A31" w:rsidRPr="00E12417">
        <w:rPr>
          <w:noProof/>
        </w:rPr>
        <w:t>r</w:t>
      </w:r>
      <w:r w:rsidRPr="00E12417">
        <w:rPr>
          <w:noProof/>
        </w:rPr>
        <w:t>epository</w:t>
      </w:r>
      <w:r w:rsidR="009B5773" w:rsidRPr="00E12417">
        <w:rPr>
          <w:noProof/>
        </w:rPr>
        <w:t>,</w:t>
      </w:r>
      <w:r w:rsidRPr="00E12417">
        <w:rPr>
          <w:noProof/>
        </w:rPr>
        <w:t xml:space="preserve"> in the author’s research </w:t>
      </w:r>
      <w:r w:rsidR="005F4B08" w:rsidRPr="00E12417">
        <w:rPr>
          <w:noProof/>
        </w:rPr>
        <w:t>organisation</w:t>
      </w:r>
      <w:r w:rsidRPr="00E12417">
        <w:rPr>
          <w:noProof/>
        </w:rPr>
        <w:t>’s own institutional OA repository, or in the institutional OA repository of a co-funding research partner providing its content can be linked to Orfeo or harvested by Orfeo through the OAI-PMH protocol.</w:t>
      </w:r>
    </w:p>
    <w:p w:rsidR="00103ED5" w:rsidRPr="00E12417" w:rsidRDefault="00103ED5" w:rsidP="00103ED5">
      <w:pPr>
        <w:jc w:val="both"/>
        <w:rPr>
          <w:noProof/>
        </w:rPr>
      </w:pPr>
    </w:p>
    <w:p w:rsidR="004B1770" w:rsidRPr="00E12417" w:rsidRDefault="004B1770" w:rsidP="004B1770">
      <w:pPr>
        <w:jc w:val="both"/>
        <w:rPr>
          <w:noProof/>
        </w:rPr>
      </w:pPr>
      <w:r w:rsidRPr="00E12417">
        <w:rPr>
          <w:noProof/>
        </w:rPr>
        <w:t xml:space="preserve">BELSPO </w:t>
      </w:r>
      <w:r w:rsidR="009C5FE7" w:rsidRPr="00E12417">
        <w:rPr>
          <w:noProof/>
        </w:rPr>
        <w:t xml:space="preserve">final </w:t>
      </w:r>
      <w:r w:rsidRPr="00E12417">
        <w:rPr>
          <w:noProof/>
        </w:rPr>
        <w:t xml:space="preserve">project reports </w:t>
      </w:r>
      <w:r w:rsidR="002A0DBF" w:rsidRPr="00E12417">
        <w:rPr>
          <w:noProof/>
        </w:rPr>
        <w:t xml:space="preserve">will be deposited in Orfeo by BELSPO </w:t>
      </w:r>
      <w:r w:rsidR="00F54C5C" w:rsidRPr="00E12417">
        <w:rPr>
          <w:noProof/>
        </w:rPr>
        <w:t>if no</w:t>
      </w:r>
      <w:r w:rsidR="002A0DBF" w:rsidRPr="00E12417">
        <w:rPr>
          <w:noProof/>
        </w:rPr>
        <w:t xml:space="preserve"> exceptional protection provisions</w:t>
      </w:r>
      <w:r w:rsidR="00F54C5C" w:rsidRPr="00E12417">
        <w:rPr>
          <w:noProof/>
        </w:rPr>
        <w:t xml:space="preserve"> apply</w:t>
      </w:r>
      <w:r w:rsidR="002A0DBF" w:rsidRPr="00E12417">
        <w:rPr>
          <w:noProof/>
        </w:rPr>
        <w:t xml:space="preserve">. </w:t>
      </w:r>
      <w:r w:rsidR="00F54C5C" w:rsidRPr="00E12417">
        <w:rPr>
          <w:noProof/>
        </w:rPr>
        <w:t xml:space="preserve">Such reports will </w:t>
      </w:r>
      <w:r w:rsidR="009C5FE7" w:rsidRPr="00E12417">
        <w:rPr>
          <w:noProof/>
        </w:rPr>
        <w:t>have to</w:t>
      </w:r>
      <w:r w:rsidRPr="00E12417">
        <w:rPr>
          <w:noProof/>
        </w:rPr>
        <w:t xml:space="preserve"> consist of an introduction describing the scientific issue. The report's corpus will describe the methodology and sources, develop arguments and disclose evidence to substantiate the researchers hypothesis. The conclusion will provide a straight answer to the scientific issue put forward in the introduction.</w:t>
      </w:r>
    </w:p>
    <w:p w:rsidR="00103ED5" w:rsidRPr="00E12417" w:rsidRDefault="00103ED5" w:rsidP="00103ED5">
      <w:pPr>
        <w:jc w:val="both"/>
        <w:rPr>
          <w:noProof/>
        </w:rPr>
      </w:pPr>
    </w:p>
    <w:p w:rsidR="00650361" w:rsidRPr="00E12417" w:rsidRDefault="00650361" w:rsidP="00103ED5">
      <w:pPr>
        <w:jc w:val="both"/>
        <w:rPr>
          <w:i/>
          <w:smallCaps/>
          <w:noProof/>
        </w:rPr>
      </w:pPr>
      <w:r w:rsidRPr="00E12417">
        <w:rPr>
          <w:i/>
          <w:smallCaps/>
          <w:noProof/>
        </w:rPr>
        <w:t xml:space="preserve">Peer </w:t>
      </w:r>
      <w:r w:rsidR="00B52125" w:rsidRPr="00E12417">
        <w:rPr>
          <w:i/>
          <w:smallCaps/>
          <w:noProof/>
        </w:rPr>
        <w:t>R</w:t>
      </w:r>
      <w:r w:rsidRPr="00E12417">
        <w:rPr>
          <w:i/>
          <w:smallCaps/>
          <w:noProof/>
        </w:rPr>
        <w:t xml:space="preserve">eviewed </w:t>
      </w:r>
      <w:r w:rsidR="00B52125" w:rsidRPr="00E12417">
        <w:rPr>
          <w:i/>
          <w:smallCaps/>
          <w:noProof/>
        </w:rPr>
        <w:t>A</w:t>
      </w:r>
      <w:r w:rsidRPr="00E12417">
        <w:rPr>
          <w:i/>
          <w:smallCaps/>
          <w:noProof/>
        </w:rPr>
        <w:t>rticles</w:t>
      </w:r>
      <w:r w:rsidR="00252D99" w:rsidRPr="00E12417">
        <w:rPr>
          <w:i/>
          <w:smallCaps/>
          <w:noProof/>
        </w:rPr>
        <w:t xml:space="preserve"> and </w:t>
      </w:r>
      <w:r w:rsidR="00B52125" w:rsidRPr="00E12417">
        <w:rPr>
          <w:i/>
          <w:smallCaps/>
          <w:noProof/>
        </w:rPr>
        <w:t>M</w:t>
      </w:r>
      <w:r w:rsidR="00252D99" w:rsidRPr="00E12417">
        <w:rPr>
          <w:i/>
          <w:smallCaps/>
          <w:noProof/>
        </w:rPr>
        <w:t>onographs</w:t>
      </w:r>
    </w:p>
    <w:p w:rsidR="000F3590" w:rsidRPr="00E12417" w:rsidRDefault="000F3590" w:rsidP="00103ED5">
      <w:pPr>
        <w:pStyle w:val="Default"/>
        <w:jc w:val="both"/>
        <w:rPr>
          <w:rFonts w:ascii="Calibri" w:hAnsi="Calibri" w:cs="Calibri"/>
          <w:noProof/>
          <w:color w:val="auto"/>
          <w:sz w:val="22"/>
          <w:szCs w:val="22"/>
          <w:lang w:val="en-GB"/>
        </w:rPr>
      </w:pPr>
    </w:p>
    <w:p w:rsidR="00103ED5" w:rsidRPr="00E12417" w:rsidRDefault="00103ED5" w:rsidP="00103ED5">
      <w:pPr>
        <w:pStyle w:val="Default"/>
        <w:jc w:val="both"/>
        <w:rPr>
          <w:rFonts w:ascii="Calibri" w:eastAsia="SimSun" w:hAnsi="Calibri" w:cs="font306"/>
          <w:noProof/>
          <w:color w:val="auto"/>
          <w:sz w:val="22"/>
          <w:szCs w:val="22"/>
          <w:lang w:val="en-GB" w:eastAsia="fa-IR" w:bidi="fa-IR"/>
        </w:rPr>
      </w:pPr>
      <w:r w:rsidRPr="00E12417">
        <w:rPr>
          <w:rFonts w:ascii="Calibri" w:eastAsia="SimSun" w:hAnsi="Calibri" w:cs="font306"/>
          <w:noProof/>
          <w:color w:val="auto"/>
          <w:sz w:val="22"/>
          <w:szCs w:val="22"/>
          <w:lang w:val="en-GB" w:eastAsia="fa-IR" w:bidi="fa-IR"/>
        </w:rPr>
        <w:t xml:space="preserve">Scientific articles will be deposited </w:t>
      </w:r>
      <w:r w:rsidR="009B5773" w:rsidRPr="00E12417">
        <w:rPr>
          <w:rFonts w:ascii="Calibri" w:eastAsia="SimSun" w:hAnsi="Calibri" w:cs="font306"/>
          <w:noProof/>
          <w:color w:val="auto"/>
          <w:sz w:val="22"/>
          <w:szCs w:val="22"/>
          <w:lang w:val="en-GB" w:eastAsia="fa-IR" w:bidi="fa-IR"/>
        </w:rPr>
        <w:t xml:space="preserve">together with their metadata </w:t>
      </w:r>
      <w:r w:rsidR="00AE1C88" w:rsidRPr="00E12417">
        <w:rPr>
          <w:rFonts w:ascii="Calibri" w:eastAsia="SimSun" w:hAnsi="Calibri" w:cs="font306"/>
          <w:noProof/>
          <w:color w:val="auto"/>
          <w:sz w:val="22"/>
          <w:szCs w:val="22"/>
          <w:lang w:val="en-GB" w:eastAsia="fa-IR" w:bidi="fa-IR"/>
        </w:rPr>
        <w:t>within 3 months after</w:t>
      </w:r>
      <w:r w:rsidRPr="00E12417">
        <w:rPr>
          <w:rFonts w:ascii="Calibri" w:eastAsia="SimSun" w:hAnsi="Calibri" w:cs="font306"/>
          <w:noProof/>
          <w:color w:val="auto"/>
          <w:sz w:val="22"/>
          <w:szCs w:val="22"/>
          <w:lang w:val="en-GB" w:eastAsia="fa-IR" w:bidi="fa-IR"/>
        </w:rPr>
        <w:t xml:space="preserve"> acceptance for publication.</w:t>
      </w:r>
      <w:r w:rsidR="00BE6EFE" w:rsidRPr="00E12417">
        <w:rPr>
          <w:rStyle w:val="EndnoteReference"/>
          <w:rFonts w:ascii="Calibri" w:eastAsia="SimSun" w:hAnsi="Calibri" w:cs="font306"/>
          <w:noProof/>
          <w:color w:val="auto"/>
          <w:sz w:val="22"/>
          <w:szCs w:val="22"/>
          <w:lang w:val="en-GB" w:eastAsia="fa-IR" w:bidi="fa-IR"/>
        </w:rPr>
        <w:endnoteReference w:id="25"/>
      </w:r>
      <w:r w:rsidRPr="00E12417">
        <w:rPr>
          <w:rFonts w:ascii="Calibri" w:eastAsia="SimSun" w:hAnsi="Calibri" w:cs="font306"/>
          <w:noProof/>
          <w:color w:val="auto"/>
          <w:sz w:val="22"/>
          <w:szCs w:val="22"/>
          <w:lang w:val="en-GB" w:eastAsia="fa-IR" w:bidi="fa-IR"/>
        </w:rPr>
        <w:t xml:space="preserve"> In order to make the full content of scientific articles publicly accessible,</w:t>
      </w:r>
      <w:r w:rsidR="008C0957" w:rsidRPr="00E12417">
        <w:rPr>
          <w:rFonts w:ascii="Calibri" w:eastAsia="SimSun" w:hAnsi="Calibri" w:cs="font306"/>
          <w:noProof/>
          <w:color w:val="auto"/>
          <w:sz w:val="22"/>
          <w:szCs w:val="22"/>
          <w:lang w:val="en-GB" w:eastAsia="fa-IR" w:bidi="fa-IR"/>
        </w:rPr>
        <w:t xml:space="preserve"> the depositing researcher will</w:t>
      </w:r>
      <w:r w:rsidR="00A3276E" w:rsidRPr="00E12417">
        <w:rPr>
          <w:rFonts w:ascii="Calibri" w:eastAsia="SimSun" w:hAnsi="Calibri" w:cs="font306"/>
          <w:noProof/>
          <w:color w:val="auto"/>
          <w:sz w:val="22"/>
          <w:szCs w:val="22"/>
          <w:lang w:val="en-GB" w:eastAsia="fa-IR" w:bidi="fa-IR"/>
        </w:rPr>
        <w:t xml:space="preserve"> inquire whether </w:t>
      </w:r>
      <w:r w:rsidRPr="00E12417">
        <w:rPr>
          <w:rFonts w:ascii="Calibri" w:eastAsia="SimSun" w:hAnsi="Calibri" w:cs="font306"/>
          <w:noProof/>
          <w:color w:val="auto"/>
          <w:sz w:val="22"/>
          <w:szCs w:val="22"/>
          <w:lang w:val="en-GB" w:eastAsia="fa-IR" w:bidi="fa-IR"/>
        </w:rPr>
        <w:t>the journal accepts OA to the article’s publisher version, pre-print or post-print.</w:t>
      </w:r>
      <w:r w:rsidR="00A3276E" w:rsidRPr="00E12417">
        <w:rPr>
          <w:rStyle w:val="EndnoteReference"/>
          <w:rFonts w:ascii="Calibri" w:eastAsia="SimSun" w:hAnsi="Calibri" w:cs="font306"/>
          <w:noProof/>
          <w:color w:val="auto"/>
          <w:sz w:val="22"/>
          <w:szCs w:val="22"/>
          <w:lang w:val="en-GB" w:eastAsia="fa-IR" w:bidi="fa-IR"/>
        </w:rPr>
        <w:endnoteReference w:id="26"/>
      </w:r>
      <w:r w:rsidRPr="00E12417">
        <w:rPr>
          <w:rFonts w:ascii="Calibri" w:eastAsia="SimSun" w:hAnsi="Calibri" w:cs="font306"/>
          <w:noProof/>
          <w:color w:val="auto"/>
          <w:sz w:val="22"/>
          <w:szCs w:val="22"/>
          <w:lang w:val="en-GB" w:eastAsia="fa-IR" w:bidi="fa-IR"/>
        </w:rPr>
        <w:t xml:space="preserve"> The researcher </w:t>
      </w:r>
      <w:r w:rsidR="00BD734B" w:rsidRPr="00E12417">
        <w:rPr>
          <w:rFonts w:ascii="Calibri" w:eastAsia="SimSun" w:hAnsi="Calibri" w:cs="font306"/>
          <w:noProof/>
          <w:color w:val="auto"/>
          <w:sz w:val="22"/>
          <w:szCs w:val="22"/>
          <w:lang w:val="en-GB" w:eastAsia="fa-IR" w:bidi="fa-IR"/>
        </w:rPr>
        <w:t xml:space="preserve">or </w:t>
      </w:r>
      <w:r w:rsidR="005F4B08" w:rsidRPr="00E12417">
        <w:rPr>
          <w:rFonts w:ascii="Calibri" w:eastAsia="SimSun" w:hAnsi="Calibri" w:cs="font306"/>
          <w:noProof/>
          <w:color w:val="auto"/>
          <w:sz w:val="22"/>
          <w:szCs w:val="22"/>
          <w:lang w:val="en-GB" w:eastAsia="fa-IR" w:bidi="fa-IR"/>
        </w:rPr>
        <w:t>organisation</w:t>
      </w:r>
      <w:r w:rsidR="00BD734B" w:rsidRPr="00E12417">
        <w:rPr>
          <w:rFonts w:ascii="Calibri" w:eastAsia="SimSun" w:hAnsi="Calibri" w:cs="font306"/>
          <w:noProof/>
          <w:color w:val="auto"/>
          <w:sz w:val="22"/>
          <w:szCs w:val="22"/>
          <w:lang w:val="en-GB" w:eastAsia="fa-IR" w:bidi="fa-IR"/>
        </w:rPr>
        <w:t xml:space="preserve">s mandated to represent researchers </w:t>
      </w:r>
      <w:r w:rsidRPr="00E12417">
        <w:rPr>
          <w:rFonts w:ascii="Calibri" w:eastAsia="SimSun" w:hAnsi="Calibri" w:cs="font306"/>
          <w:noProof/>
          <w:color w:val="auto"/>
          <w:sz w:val="22"/>
          <w:szCs w:val="22"/>
          <w:lang w:val="en-GB" w:eastAsia="fa-IR" w:bidi="fa-IR"/>
        </w:rPr>
        <w:t>will inform the journal that copyrights held by the Belgian State cannot be ceded completely and the Belgian State’s rights to make the researcher’s scientific article available in OA will be retained</w:t>
      </w:r>
      <w:r w:rsidR="00D55CA4" w:rsidRPr="00E12417">
        <w:rPr>
          <w:rFonts w:ascii="Calibri" w:eastAsia="SimSun" w:hAnsi="Calibri" w:cs="font306"/>
          <w:noProof/>
          <w:color w:val="auto"/>
          <w:sz w:val="22"/>
          <w:szCs w:val="22"/>
          <w:lang w:val="en-GB" w:eastAsia="fa-IR" w:bidi="fa-IR"/>
        </w:rPr>
        <w:t xml:space="preserve"> (See </w:t>
      </w:r>
      <w:r w:rsidR="00CD3276" w:rsidRPr="00E12417">
        <w:rPr>
          <w:rFonts w:ascii="Calibri" w:eastAsia="SimSun" w:hAnsi="Calibri" w:cs="font306"/>
          <w:noProof/>
          <w:color w:val="auto"/>
          <w:sz w:val="22"/>
          <w:szCs w:val="22"/>
          <w:lang w:val="en-GB" w:eastAsia="fa-IR" w:bidi="fa-IR"/>
        </w:rPr>
        <w:t xml:space="preserve">Implementation </w:t>
      </w:r>
      <w:r w:rsidR="007A360E" w:rsidRPr="00E12417">
        <w:rPr>
          <w:rFonts w:ascii="Calibri" w:eastAsia="SimSun" w:hAnsi="Calibri" w:cs="font306"/>
          <w:noProof/>
          <w:color w:val="auto"/>
          <w:sz w:val="22"/>
          <w:szCs w:val="22"/>
          <w:lang w:val="en-GB" w:eastAsia="fa-IR" w:bidi="fa-IR"/>
        </w:rPr>
        <w:t>Note</w:t>
      </w:r>
      <w:r w:rsidR="00D55CA4" w:rsidRPr="00E12417">
        <w:rPr>
          <w:rFonts w:ascii="Calibri" w:eastAsia="SimSun" w:hAnsi="Calibri" w:cs="font306"/>
          <w:noProof/>
          <w:color w:val="auto"/>
          <w:sz w:val="22"/>
          <w:szCs w:val="22"/>
          <w:lang w:val="en-GB" w:eastAsia="fa-IR" w:bidi="fa-IR"/>
        </w:rPr>
        <w:t xml:space="preserve"> 2)</w:t>
      </w:r>
      <w:r w:rsidR="00F003F3" w:rsidRPr="00E12417">
        <w:rPr>
          <w:rFonts w:ascii="Calibri" w:eastAsia="SimSun" w:hAnsi="Calibri" w:cs="font306"/>
          <w:noProof/>
          <w:color w:val="auto"/>
          <w:sz w:val="22"/>
          <w:szCs w:val="22"/>
          <w:lang w:val="en-GB" w:eastAsia="fa-IR" w:bidi="fa-IR"/>
        </w:rPr>
        <w:t xml:space="preserve"> </w:t>
      </w:r>
      <w:r w:rsidR="00650361" w:rsidRPr="00E12417">
        <w:rPr>
          <w:rFonts w:ascii="Calibri" w:eastAsia="SimSun" w:hAnsi="Calibri" w:cs="font306"/>
          <w:noProof/>
          <w:color w:val="auto"/>
          <w:sz w:val="22"/>
          <w:szCs w:val="22"/>
          <w:lang w:val="en-GB" w:eastAsia="fa-IR" w:bidi="fa-IR"/>
        </w:rPr>
        <w:t>notwiths</w:t>
      </w:r>
      <w:r w:rsidR="00EF339F" w:rsidRPr="00E12417">
        <w:rPr>
          <w:rFonts w:ascii="Calibri" w:eastAsia="SimSun" w:hAnsi="Calibri" w:cs="font306"/>
          <w:noProof/>
          <w:color w:val="auto"/>
          <w:sz w:val="22"/>
          <w:szCs w:val="22"/>
          <w:lang w:val="en-GB" w:eastAsia="fa-IR" w:bidi="fa-IR"/>
        </w:rPr>
        <w:t xml:space="preserve">tanding </w:t>
      </w:r>
      <w:r w:rsidR="00505827" w:rsidRPr="00E12417">
        <w:rPr>
          <w:rFonts w:ascii="Calibri" w:eastAsia="SimSun" w:hAnsi="Calibri" w:cs="font306"/>
          <w:noProof/>
          <w:color w:val="auto"/>
          <w:sz w:val="22"/>
          <w:szCs w:val="22"/>
          <w:lang w:val="en-GB" w:eastAsia="fa-IR" w:bidi="fa-IR"/>
        </w:rPr>
        <w:t xml:space="preserve">applicable </w:t>
      </w:r>
      <w:r w:rsidR="007A7F7A" w:rsidRPr="00E12417">
        <w:rPr>
          <w:rFonts w:ascii="Calibri" w:eastAsia="SimSun" w:hAnsi="Calibri" w:cs="font306"/>
          <w:noProof/>
          <w:color w:val="auto"/>
          <w:sz w:val="22"/>
          <w:szCs w:val="22"/>
          <w:lang w:val="en-GB" w:eastAsia="fa-IR" w:bidi="fa-IR"/>
        </w:rPr>
        <w:t xml:space="preserve">protection </w:t>
      </w:r>
      <w:r w:rsidR="00EF339F" w:rsidRPr="00E12417">
        <w:rPr>
          <w:rFonts w:ascii="Calibri" w:eastAsia="SimSun" w:hAnsi="Calibri" w:cs="font306"/>
          <w:noProof/>
          <w:color w:val="auto"/>
          <w:sz w:val="22"/>
          <w:szCs w:val="22"/>
          <w:lang w:val="en-GB" w:eastAsia="fa-IR" w:bidi="fa-IR"/>
        </w:rPr>
        <w:t>provisions</w:t>
      </w:r>
      <w:r w:rsidR="00505827" w:rsidRPr="00E12417">
        <w:rPr>
          <w:rFonts w:ascii="Calibri" w:eastAsia="SimSun" w:hAnsi="Calibri" w:cs="font306"/>
          <w:noProof/>
          <w:color w:val="auto"/>
          <w:sz w:val="22"/>
          <w:szCs w:val="22"/>
          <w:lang w:val="en-GB" w:eastAsia="fa-IR" w:bidi="fa-IR"/>
        </w:rPr>
        <w:t xml:space="preserve"> and</w:t>
      </w:r>
      <w:r w:rsidR="00252D99" w:rsidRPr="00E12417">
        <w:rPr>
          <w:rFonts w:ascii="Calibri" w:eastAsia="SimSun" w:hAnsi="Calibri" w:cs="font306"/>
          <w:noProof/>
          <w:color w:val="auto"/>
          <w:sz w:val="22"/>
          <w:szCs w:val="22"/>
          <w:lang w:val="en-GB" w:eastAsia="fa-IR" w:bidi="fa-IR"/>
        </w:rPr>
        <w:t xml:space="preserve"> embargo</w:t>
      </w:r>
      <w:r w:rsidR="00505827" w:rsidRPr="00E12417">
        <w:rPr>
          <w:rFonts w:ascii="Calibri" w:eastAsia="SimSun" w:hAnsi="Calibri" w:cs="font306"/>
          <w:noProof/>
          <w:color w:val="auto"/>
          <w:sz w:val="22"/>
          <w:szCs w:val="22"/>
          <w:lang w:val="en-GB" w:eastAsia="fa-IR" w:bidi="fa-IR"/>
        </w:rPr>
        <w:t>e</w:t>
      </w:r>
      <w:r w:rsidR="00252D99" w:rsidRPr="00E12417">
        <w:rPr>
          <w:rFonts w:ascii="Calibri" w:eastAsia="SimSun" w:hAnsi="Calibri" w:cs="font306"/>
          <w:noProof/>
          <w:color w:val="auto"/>
          <w:sz w:val="22"/>
          <w:szCs w:val="22"/>
          <w:lang w:val="en-GB" w:eastAsia="fa-IR" w:bidi="fa-IR"/>
        </w:rPr>
        <w:t>s</w:t>
      </w:r>
      <w:r w:rsidR="00505827" w:rsidRPr="00E12417">
        <w:rPr>
          <w:rFonts w:ascii="Calibri" w:eastAsia="SimSun" w:hAnsi="Calibri" w:cs="font306"/>
          <w:noProof/>
          <w:color w:val="auto"/>
          <w:sz w:val="22"/>
          <w:szCs w:val="22"/>
          <w:lang w:val="en-GB" w:eastAsia="fa-IR" w:bidi="fa-IR"/>
        </w:rPr>
        <w:t xml:space="preserve"> (see below)</w:t>
      </w:r>
      <w:r w:rsidRPr="00E12417">
        <w:rPr>
          <w:rFonts w:ascii="Calibri" w:eastAsia="SimSun" w:hAnsi="Calibri" w:cs="font306"/>
          <w:noProof/>
          <w:color w:val="auto"/>
          <w:sz w:val="22"/>
          <w:szCs w:val="22"/>
          <w:lang w:val="en-GB" w:eastAsia="fa-IR" w:bidi="fa-IR"/>
        </w:rPr>
        <w:t xml:space="preserve">. All </w:t>
      </w:r>
      <w:r w:rsidR="00213150" w:rsidRPr="00E12417">
        <w:rPr>
          <w:rFonts w:ascii="Calibri" w:eastAsia="SimSun" w:hAnsi="Calibri" w:cs="font306"/>
          <w:noProof/>
          <w:color w:val="auto"/>
          <w:sz w:val="22"/>
          <w:szCs w:val="22"/>
          <w:lang w:val="en-GB" w:eastAsia="fa-IR" w:bidi="fa-IR"/>
        </w:rPr>
        <w:t>articles</w:t>
      </w:r>
      <w:r w:rsidRPr="00E12417">
        <w:rPr>
          <w:rFonts w:ascii="Calibri" w:eastAsia="SimSun" w:hAnsi="Calibri" w:cs="font306"/>
          <w:noProof/>
          <w:color w:val="auto"/>
          <w:sz w:val="22"/>
          <w:szCs w:val="22"/>
          <w:lang w:val="en-GB" w:eastAsia="fa-IR" w:bidi="fa-IR"/>
        </w:rPr>
        <w:t xml:space="preserve"> </w:t>
      </w:r>
      <w:r w:rsidR="008B436C" w:rsidRPr="00E12417">
        <w:rPr>
          <w:rFonts w:ascii="Calibri" w:eastAsia="SimSun" w:hAnsi="Calibri" w:cs="font306"/>
          <w:noProof/>
          <w:color w:val="auto"/>
          <w:sz w:val="22"/>
          <w:szCs w:val="22"/>
          <w:lang w:val="en-GB" w:eastAsia="fa-IR" w:bidi="fa-IR"/>
        </w:rPr>
        <w:t>wi</w:t>
      </w:r>
      <w:r w:rsidRPr="00E12417">
        <w:rPr>
          <w:rFonts w:ascii="Calibri" w:eastAsia="SimSun" w:hAnsi="Calibri" w:cs="font306"/>
          <w:noProof/>
          <w:color w:val="auto"/>
          <w:sz w:val="22"/>
          <w:szCs w:val="22"/>
          <w:lang w:val="en-GB" w:eastAsia="fa-IR" w:bidi="fa-IR"/>
        </w:rPr>
        <w:t xml:space="preserve">ll be published under the open license </w:t>
      </w:r>
      <w:r w:rsidR="00A40161" w:rsidRPr="00E12417">
        <w:rPr>
          <w:rFonts w:ascii="Calibri" w:eastAsia="SimSun" w:hAnsi="Calibri" w:cs="font306"/>
          <w:noProof/>
          <w:color w:val="auto"/>
          <w:sz w:val="22"/>
          <w:szCs w:val="22"/>
          <w:lang w:val="en-GB" w:eastAsia="fa-IR" w:bidi="fa-IR"/>
        </w:rPr>
        <w:t xml:space="preserve">Creative Commons-Attribution CC </w:t>
      </w:r>
      <w:r w:rsidRPr="00E12417">
        <w:rPr>
          <w:rFonts w:ascii="Calibri" w:eastAsia="SimSun" w:hAnsi="Calibri" w:cs="font306"/>
          <w:noProof/>
          <w:color w:val="auto"/>
          <w:sz w:val="22"/>
          <w:szCs w:val="22"/>
          <w:lang w:val="en-GB" w:eastAsia="fa-IR" w:bidi="fa-IR"/>
        </w:rPr>
        <w:t>BY or equivalent</w:t>
      </w:r>
      <w:r w:rsidR="00E2092D" w:rsidRPr="00E12417">
        <w:rPr>
          <w:rFonts w:ascii="Calibri" w:eastAsia="SimSun" w:hAnsi="Calibri" w:cs="font306"/>
          <w:noProof/>
          <w:color w:val="auto"/>
          <w:sz w:val="22"/>
          <w:szCs w:val="22"/>
          <w:lang w:val="en-GB" w:eastAsia="fa-IR" w:bidi="fa-IR"/>
        </w:rPr>
        <w:t xml:space="preserve"> (See </w:t>
      </w:r>
      <w:r w:rsidR="00CD3276" w:rsidRPr="00E12417">
        <w:rPr>
          <w:rFonts w:ascii="Calibri" w:eastAsia="SimSun" w:hAnsi="Calibri" w:cs="font306"/>
          <w:noProof/>
          <w:color w:val="auto"/>
          <w:sz w:val="22"/>
          <w:szCs w:val="22"/>
          <w:lang w:val="en-GB" w:eastAsia="fa-IR" w:bidi="fa-IR"/>
        </w:rPr>
        <w:t xml:space="preserve">Implementation </w:t>
      </w:r>
      <w:r w:rsidR="007A360E" w:rsidRPr="00E12417">
        <w:rPr>
          <w:rFonts w:ascii="Calibri" w:eastAsia="SimSun" w:hAnsi="Calibri" w:cs="font306"/>
          <w:noProof/>
          <w:color w:val="auto"/>
          <w:sz w:val="22"/>
          <w:szCs w:val="22"/>
          <w:lang w:val="en-GB" w:eastAsia="fa-IR" w:bidi="fa-IR"/>
        </w:rPr>
        <w:t>Note</w:t>
      </w:r>
      <w:r w:rsidR="00E2092D" w:rsidRPr="00E12417">
        <w:rPr>
          <w:rFonts w:ascii="Calibri" w:eastAsia="SimSun" w:hAnsi="Calibri" w:cs="font306"/>
          <w:noProof/>
          <w:color w:val="auto"/>
          <w:sz w:val="22"/>
          <w:szCs w:val="22"/>
          <w:lang w:val="en-GB" w:eastAsia="fa-IR" w:bidi="fa-IR"/>
        </w:rPr>
        <w:t xml:space="preserve"> 3)</w:t>
      </w:r>
      <w:r w:rsidRPr="00E12417">
        <w:rPr>
          <w:rFonts w:ascii="Calibri" w:eastAsia="SimSun" w:hAnsi="Calibri" w:cs="font306"/>
          <w:noProof/>
          <w:color w:val="auto"/>
          <w:sz w:val="22"/>
          <w:szCs w:val="22"/>
          <w:lang w:val="en-GB" w:eastAsia="fa-IR" w:bidi="fa-IR"/>
        </w:rPr>
        <w:t>. The journal may however be granted an</w:t>
      </w:r>
      <w:r w:rsidR="00BE649D" w:rsidRPr="00E12417">
        <w:rPr>
          <w:rFonts w:ascii="Calibri" w:eastAsia="SimSun" w:hAnsi="Calibri" w:cs="font306"/>
          <w:noProof/>
          <w:color w:val="auto"/>
          <w:sz w:val="22"/>
          <w:szCs w:val="22"/>
          <w:lang w:val="en-GB" w:eastAsia="fa-IR" w:bidi="fa-IR"/>
        </w:rPr>
        <w:t xml:space="preserve"> embargo on the access to the deposited article to allow for its commercial exploitation. E</w:t>
      </w:r>
      <w:r w:rsidRPr="00E12417">
        <w:rPr>
          <w:rFonts w:ascii="Calibri" w:eastAsia="SimSun" w:hAnsi="Calibri" w:cs="font306"/>
          <w:noProof/>
          <w:color w:val="auto"/>
          <w:sz w:val="22"/>
          <w:szCs w:val="22"/>
          <w:lang w:val="en-GB" w:eastAsia="fa-IR" w:bidi="fa-IR"/>
        </w:rPr>
        <w:t>mbargo period</w:t>
      </w:r>
      <w:r w:rsidR="00BE649D" w:rsidRPr="00E12417">
        <w:rPr>
          <w:rFonts w:ascii="Calibri" w:eastAsia="SimSun" w:hAnsi="Calibri" w:cs="font306"/>
          <w:noProof/>
          <w:color w:val="auto"/>
          <w:sz w:val="22"/>
          <w:szCs w:val="22"/>
          <w:lang w:val="en-GB" w:eastAsia="fa-IR" w:bidi="fa-IR"/>
        </w:rPr>
        <w:t>s</w:t>
      </w:r>
      <w:r w:rsidRPr="00E12417">
        <w:rPr>
          <w:rFonts w:ascii="Calibri" w:eastAsia="SimSun" w:hAnsi="Calibri" w:cs="font306"/>
          <w:noProof/>
          <w:color w:val="auto"/>
          <w:sz w:val="22"/>
          <w:szCs w:val="22"/>
          <w:lang w:val="en-GB" w:eastAsia="fa-IR" w:bidi="fa-IR"/>
        </w:rPr>
        <w:t xml:space="preserve"> of </w:t>
      </w:r>
      <w:r w:rsidR="00BE649D" w:rsidRPr="00E12417">
        <w:rPr>
          <w:rFonts w:ascii="Calibri" w:eastAsia="SimSun" w:hAnsi="Calibri" w:cs="font306"/>
          <w:noProof/>
          <w:color w:val="auto"/>
          <w:sz w:val="22"/>
          <w:szCs w:val="22"/>
          <w:lang w:val="en-GB" w:eastAsia="fa-IR" w:bidi="fa-IR"/>
        </w:rPr>
        <w:t xml:space="preserve">up to </w:t>
      </w:r>
      <w:r w:rsidRPr="00E12417">
        <w:rPr>
          <w:rFonts w:ascii="Calibri" w:eastAsia="SimSun" w:hAnsi="Calibri" w:cs="font306"/>
          <w:noProof/>
          <w:color w:val="auto"/>
          <w:sz w:val="22"/>
          <w:szCs w:val="22"/>
          <w:lang w:val="en-GB" w:eastAsia="fa-IR" w:bidi="fa-IR"/>
        </w:rPr>
        <w:t xml:space="preserve">6 months for scientific, technical and medical fields (STM) or </w:t>
      </w:r>
      <w:r w:rsidR="00BE649D" w:rsidRPr="00E12417">
        <w:rPr>
          <w:rFonts w:ascii="Calibri" w:eastAsia="SimSun" w:hAnsi="Calibri" w:cs="font306"/>
          <w:noProof/>
          <w:color w:val="auto"/>
          <w:sz w:val="22"/>
          <w:szCs w:val="22"/>
          <w:lang w:val="en-GB" w:eastAsia="fa-IR" w:bidi="fa-IR"/>
        </w:rPr>
        <w:t xml:space="preserve">up to </w:t>
      </w:r>
      <w:r w:rsidRPr="00E12417">
        <w:rPr>
          <w:rFonts w:ascii="Calibri" w:eastAsia="SimSun" w:hAnsi="Calibri" w:cs="font306"/>
          <w:noProof/>
          <w:color w:val="auto"/>
          <w:sz w:val="22"/>
          <w:szCs w:val="22"/>
          <w:lang w:val="en-GB" w:eastAsia="fa-IR" w:bidi="fa-IR"/>
        </w:rPr>
        <w:t>12 months for humanities, arts and social sciences (HASS)</w:t>
      </w:r>
      <w:r w:rsidR="00BE649D" w:rsidRPr="00E12417">
        <w:rPr>
          <w:rFonts w:ascii="Calibri" w:eastAsia="SimSun" w:hAnsi="Calibri" w:cs="font306"/>
          <w:noProof/>
          <w:color w:val="auto"/>
          <w:sz w:val="22"/>
          <w:szCs w:val="22"/>
          <w:lang w:val="en-GB" w:eastAsia="fa-IR" w:bidi="fa-IR"/>
        </w:rPr>
        <w:t xml:space="preserve"> will </w:t>
      </w:r>
      <w:r w:rsidR="00B47225" w:rsidRPr="00E12417">
        <w:rPr>
          <w:rFonts w:ascii="Calibri" w:eastAsia="SimSun" w:hAnsi="Calibri" w:cs="font306"/>
          <w:noProof/>
          <w:color w:val="auto"/>
          <w:sz w:val="22"/>
          <w:szCs w:val="22"/>
          <w:lang w:val="en-GB" w:eastAsia="fa-IR" w:bidi="fa-IR"/>
        </w:rPr>
        <w:t>b</w:t>
      </w:r>
      <w:r w:rsidR="00BE649D" w:rsidRPr="00E12417">
        <w:rPr>
          <w:rFonts w:ascii="Calibri" w:eastAsia="SimSun" w:hAnsi="Calibri" w:cs="font306"/>
          <w:noProof/>
          <w:color w:val="auto"/>
          <w:sz w:val="22"/>
          <w:szCs w:val="22"/>
          <w:lang w:val="en-GB" w:eastAsia="fa-IR" w:bidi="fa-IR"/>
        </w:rPr>
        <w:t>e granted</w:t>
      </w:r>
      <w:r w:rsidRPr="00E12417">
        <w:rPr>
          <w:rFonts w:ascii="Calibri" w:eastAsia="SimSun" w:hAnsi="Calibri" w:cs="font306"/>
          <w:noProof/>
          <w:color w:val="auto"/>
          <w:sz w:val="22"/>
          <w:szCs w:val="22"/>
          <w:lang w:val="en-GB" w:eastAsia="fa-IR" w:bidi="fa-IR"/>
        </w:rPr>
        <w:t xml:space="preserve">. </w:t>
      </w:r>
      <w:r w:rsidR="000C4E2A" w:rsidRPr="00E12417">
        <w:rPr>
          <w:rFonts w:ascii="Calibri" w:eastAsia="SimSun" w:hAnsi="Calibri" w:cs="font306"/>
          <w:noProof/>
          <w:color w:val="auto"/>
          <w:sz w:val="22"/>
          <w:szCs w:val="22"/>
          <w:lang w:val="en-GB" w:eastAsia="fa-IR" w:bidi="fa-IR"/>
        </w:rPr>
        <w:t xml:space="preserve">Monographs </w:t>
      </w:r>
      <w:r w:rsidR="0005745A" w:rsidRPr="00E12417">
        <w:rPr>
          <w:rFonts w:ascii="Calibri" w:eastAsia="SimSun" w:hAnsi="Calibri" w:cs="font306"/>
          <w:noProof/>
          <w:color w:val="auto"/>
          <w:sz w:val="22"/>
          <w:szCs w:val="22"/>
          <w:lang w:val="en-GB" w:eastAsia="fa-IR" w:bidi="fa-IR"/>
        </w:rPr>
        <w:t>will</w:t>
      </w:r>
      <w:r w:rsidR="000C4E2A" w:rsidRPr="00E12417">
        <w:rPr>
          <w:rFonts w:ascii="Calibri" w:eastAsia="SimSun" w:hAnsi="Calibri" w:cs="font306"/>
          <w:noProof/>
          <w:color w:val="auto"/>
          <w:sz w:val="22"/>
          <w:szCs w:val="22"/>
          <w:lang w:val="en-GB" w:eastAsia="fa-IR" w:bidi="fa-IR"/>
        </w:rPr>
        <w:t xml:space="preserve"> be published under the</w:t>
      </w:r>
      <w:r w:rsidR="0005745A" w:rsidRPr="00E12417">
        <w:rPr>
          <w:rFonts w:ascii="Calibri" w:eastAsia="SimSun" w:hAnsi="Calibri" w:cs="font306"/>
          <w:noProof/>
          <w:color w:val="auto"/>
          <w:sz w:val="22"/>
          <w:szCs w:val="22"/>
          <w:lang w:val="en-GB" w:eastAsia="fa-IR" w:bidi="fa-IR"/>
        </w:rPr>
        <w:t xml:space="preserve"> CC BY or</w:t>
      </w:r>
      <w:r w:rsidR="00A40161" w:rsidRPr="00E12417">
        <w:rPr>
          <w:rFonts w:ascii="Calibri" w:eastAsia="SimSun" w:hAnsi="Calibri" w:cs="font306"/>
          <w:noProof/>
          <w:color w:val="auto"/>
          <w:sz w:val="22"/>
          <w:szCs w:val="22"/>
          <w:lang w:val="en-GB" w:eastAsia="fa-IR" w:bidi="fa-IR"/>
        </w:rPr>
        <w:t xml:space="preserve"> CC </w:t>
      </w:r>
      <w:r w:rsidRPr="00E12417">
        <w:rPr>
          <w:rFonts w:ascii="Calibri" w:eastAsia="SimSun" w:hAnsi="Calibri" w:cs="font306"/>
          <w:noProof/>
          <w:color w:val="auto"/>
          <w:sz w:val="22"/>
          <w:szCs w:val="22"/>
          <w:lang w:val="en-GB" w:eastAsia="fa-IR" w:bidi="fa-IR"/>
        </w:rPr>
        <w:t>BY-NC</w:t>
      </w:r>
      <w:r w:rsidR="00B10521" w:rsidRPr="00E12417">
        <w:rPr>
          <w:rFonts w:ascii="Calibri" w:eastAsia="SimSun" w:hAnsi="Calibri" w:cs="font306"/>
          <w:noProof/>
          <w:color w:val="auto"/>
          <w:sz w:val="22"/>
          <w:szCs w:val="22"/>
          <w:lang w:val="en-GB" w:eastAsia="fa-IR" w:bidi="fa-IR"/>
        </w:rPr>
        <w:t>-SA</w:t>
      </w:r>
      <w:r w:rsidRPr="00E12417">
        <w:rPr>
          <w:rFonts w:ascii="Calibri" w:eastAsia="SimSun" w:hAnsi="Calibri" w:cs="font306"/>
          <w:noProof/>
          <w:color w:val="auto"/>
          <w:sz w:val="22"/>
          <w:szCs w:val="22"/>
          <w:lang w:val="en-GB" w:eastAsia="fa-IR" w:bidi="fa-IR"/>
        </w:rPr>
        <w:t xml:space="preserve"> </w:t>
      </w:r>
      <w:r w:rsidR="004D0DD3" w:rsidRPr="00E12417">
        <w:rPr>
          <w:rFonts w:ascii="Calibri" w:eastAsia="SimSun" w:hAnsi="Calibri" w:cs="font306"/>
          <w:noProof/>
          <w:color w:val="auto"/>
          <w:sz w:val="22"/>
          <w:szCs w:val="22"/>
          <w:lang w:val="en-GB" w:eastAsia="fa-IR" w:bidi="fa-IR"/>
        </w:rPr>
        <w:t>license</w:t>
      </w:r>
      <w:r w:rsidR="0005745A" w:rsidRPr="00E12417">
        <w:rPr>
          <w:rFonts w:ascii="Calibri" w:eastAsia="SimSun" w:hAnsi="Calibri" w:cs="font306"/>
          <w:noProof/>
          <w:color w:val="auto"/>
          <w:sz w:val="22"/>
          <w:szCs w:val="22"/>
          <w:lang w:val="en-GB" w:eastAsia="fa-IR" w:bidi="fa-IR"/>
        </w:rPr>
        <w:t>s</w:t>
      </w:r>
      <w:r w:rsidR="000C4E2A" w:rsidRPr="00E12417">
        <w:rPr>
          <w:rFonts w:ascii="Calibri" w:eastAsia="SimSun" w:hAnsi="Calibri" w:cs="font306"/>
          <w:noProof/>
          <w:color w:val="auto"/>
          <w:sz w:val="22"/>
          <w:szCs w:val="22"/>
          <w:lang w:val="en-GB" w:eastAsia="fa-IR" w:bidi="fa-IR"/>
        </w:rPr>
        <w:t>.</w:t>
      </w:r>
      <w:r w:rsidR="005854F7" w:rsidRPr="00E12417">
        <w:rPr>
          <w:rStyle w:val="EndnoteReference"/>
          <w:rFonts w:ascii="Calibri" w:eastAsia="SimSun" w:hAnsi="Calibri" w:cs="font306"/>
          <w:noProof/>
          <w:color w:val="auto"/>
          <w:sz w:val="22"/>
          <w:szCs w:val="22"/>
          <w:lang w:val="en-GB" w:eastAsia="fa-IR" w:bidi="fa-IR"/>
        </w:rPr>
        <w:endnoteReference w:id="27"/>
      </w:r>
      <w:r w:rsidR="000C4E2A" w:rsidRPr="00E12417">
        <w:rPr>
          <w:rFonts w:ascii="Calibri" w:eastAsia="SimSun" w:hAnsi="Calibri" w:cs="font306"/>
          <w:noProof/>
          <w:color w:val="auto"/>
          <w:sz w:val="22"/>
          <w:szCs w:val="22"/>
          <w:lang w:val="en-GB" w:eastAsia="fa-IR" w:bidi="fa-IR"/>
        </w:rPr>
        <w:t xml:space="preserve"> </w:t>
      </w:r>
      <w:r w:rsidR="00451B68" w:rsidRPr="00E12417">
        <w:rPr>
          <w:rFonts w:ascii="Calibri" w:eastAsia="SimSun" w:hAnsi="Calibri" w:cs="font306"/>
          <w:noProof/>
          <w:color w:val="auto"/>
          <w:sz w:val="22"/>
          <w:szCs w:val="22"/>
          <w:lang w:val="en-GB" w:eastAsia="fa-IR" w:bidi="fa-IR"/>
        </w:rPr>
        <w:t>A</w:t>
      </w:r>
      <w:r w:rsidR="00B10DDE" w:rsidRPr="00E12417">
        <w:rPr>
          <w:rFonts w:ascii="Calibri" w:eastAsia="SimSun" w:hAnsi="Calibri" w:cs="font306"/>
          <w:noProof/>
          <w:color w:val="auto"/>
          <w:sz w:val="22"/>
          <w:szCs w:val="22"/>
          <w:lang w:val="en-GB" w:eastAsia="fa-IR" w:bidi="fa-IR"/>
        </w:rPr>
        <w:t xml:space="preserve"> </w:t>
      </w:r>
      <w:r w:rsidR="000C4E2A" w:rsidRPr="00E12417">
        <w:rPr>
          <w:rFonts w:ascii="Calibri" w:eastAsia="SimSun" w:hAnsi="Calibri" w:cs="font306"/>
          <w:noProof/>
          <w:color w:val="auto"/>
          <w:sz w:val="22"/>
          <w:szCs w:val="22"/>
          <w:lang w:val="en-GB" w:eastAsia="fa-IR" w:bidi="fa-IR"/>
        </w:rPr>
        <w:t xml:space="preserve">monograph embargo </w:t>
      </w:r>
      <w:r w:rsidR="00B10DDE" w:rsidRPr="00E12417">
        <w:rPr>
          <w:rFonts w:ascii="Calibri" w:eastAsia="SimSun" w:hAnsi="Calibri" w:cs="font306"/>
          <w:noProof/>
          <w:color w:val="auto"/>
          <w:sz w:val="22"/>
          <w:szCs w:val="22"/>
          <w:lang w:val="en-GB" w:eastAsia="fa-IR" w:bidi="fa-IR"/>
        </w:rPr>
        <w:t xml:space="preserve">duration </w:t>
      </w:r>
      <w:r w:rsidR="00451B68" w:rsidRPr="00E12417">
        <w:rPr>
          <w:rFonts w:ascii="Calibri" w:eastAsia="SimSun" w:hAnsi="Calibri" w:cs="font306"/>
          <w:noProof/>
          <w:color w:val="auto"/>
          <w:sz w:val="22"/>
          <w:szCs w:val="22"/>
          <w:lang w:val="en-GB" w:eastAsia="fa-IR" w:bidi="fa-IR"/>
        </w:rPr>
        <w:t>will</w:t>
      </w:r>
      <w:r w:rsidR="00B10DDE" w:rsidRPr="00E12417">
        <w:rPr>
          <w:rFonts w:ascii="Calibri" w:eastAsia="SimSun" w:hAnsi="Calibri" w:cs="font306"/>
          <w:noProof/>
          <w:color w:val="auto"/>
          <w:sz w:val="22"/>
          <w:szCs w:val="22"/>
          <w:lang w:val="en-GB" w:eastAsia="fa-IR" w:bidi="fa-IR"/>
        </w:rPr>
        <w:t xml:space="preserve"> </w:t>
      </w:r>
      <w:r w:rsidR="00AD043A" w:rsidRPr="00E12417">
        <w:rPr>
          <w:rFonts w:ascii="Calibri" w:eastAsia="SimSun" w:hAnsi="Calibri" w:cs="font306"/>
          <w:noProof/>
          <w:color w:val="auto"/>
          <w:sz w:val="22"/>
          <w:szCs w:val="22"/>
          <w:lang w:val="en-GB" w:eastAsia="fa-IR" w:bidi="fa-IR"/>
        </w:rPr>
        <w:t xml:space="preserve">freely </w:t>
      </w:r>
      <w:r w:rsidR="00B10DDE" w:rsidRPr="00E12417">
        <w:rPr>
          <w:rFonts w:ascii="Calibri" w:eastAsia="SimSun" w:hAnsi="Calibri" w:cs="font306"/>
          <w:noProof/>
          <w:color w:val="auto"/>
          <w:sz w:val="22"/>
          <w:szCs w:val="22"/>
          <w:lang w:val="en-GB" w:eastAsia="fa-IR" w:bidi="fa-IR"/>
        </w:rPr>
        <w:t xml:space="preserve">be negotiated with the </w:t>
      </w:r>
      <w:r w:rsidR="00AD043A" w:rsidRPr="00E12417">
        <w:rPr>
          <w:rFonts w:ascii="Calibri" w:eastAsia="SimSun" w:hAnsi="Calibri" w:cs="font306"/>
          <w:noProof/>
          <w:color w:val="auto"/>
          <w:sz w:val="22"/>
          <w:szCs w:val="22"/>
          <w:lang w:val="en-GB" w:eastAsia="fa-IR" w:bidi="fa-IR"/>
        </w:rPr>
        <w:t>journal</w:t>
      </w:r>
      <w:r w:rsidR="00B10DDE" w:rsidRPr="00E12417">
        <w:rPr>
          <w:rFonts w:ascii="Calibri" w:eastAsia="SimSun" w:hAnsi="Calibri" w:cs="font306"/>
          <w:noProof/>
          <w:color w:val="auto"/>
          <w:sz w:val="22"/>
          <w:szCs w:val="22"/>
          <w:lang w:val="en-GB" w:eastAsia="fa-IR" w:bidi="fa-IR"/>
        </w:rPr>
        <w:t>.</w:t>
      </w:r>
      <w:r w:rsidRPr="00E12417">
        <w:rPr>
          <w:rFonts w:ascii="Calibri" w:eastAsia="SimSun" w:hAnsi="Calibri" w:cs="font306"/>
          <w:noProof/>
          <w:color w:val="auto"/>
          <w:sz w:val="22"/>
          <w:szCs w:val="22"/>
          <w:lang w:val="en-GB" w:eastAsia="fa-IR" w:bidi="fa-IR"/>
        </w:rPr>
        <w:t xml:space="preserve"> As soon as embargoes are expired, the researcher will complete the metadata in </w:t>
      </w:r>
      <w:r w:rsidR="00A67947" w:rsidRPr="00E12417">
        <w:rPr>
          <w:rFonts w:ascii="Calibri" w:eastAsia="SimSun" w:hAnsi="Calibri" w:cs="font306"/>
          <w:noProof/>
          <w:color w:val="auto"/>
          <w:sz w:val="22"/>
          <w:szCs w:val="22"/>
          <w:lang w:val="en-GB" w:eastAsia="fa-IR" w:bidi="fa-IR"/>
        </w:rPr>
        <w:t>the repository</w:t>
      </w:r>
      <w:r w:rsidRPr="00E12417">
        <w:rPr>
          <w:rFonts w:ascii="Calibri" w:eastAsia="SimSun" w:hAnsi="Calibri" w:cs="font306"/>
          <w:noProof/>
          <w:color w:val="auto"/>
          <w:sz w:val="22"/>
          <w:szCs w:val="22"/>
          <w:lang w:val="en-GB" w:eastAsia="fa-IR" w:bidi="fa-IR"/>
        </w:rPr>
        <w:t xml:space="preserve"> without delay.</w:t>
      </w:r>
    </w:p>
    <w:p w:rsidR="00103ED5" w:rsidRPr="00E12417" w:rsidRDefault="00103ED5" w:rsidP="00103ED5">
      <w:pPr>
        <w:jc w:val="both"/>
        <w:rPr>
          <w:noProof/>
        </w:rPr>
      </w:pPr>
    </w:p>
    <w:p w:rsidR="00103ED5" w:rsidRPr="00E12417" w:rsidRDefault="00DD3EE6" w:rsidP="00103ED5">
      <w:pPr>
        <w:jc w:val="both"/>
        <w:rPr>
          <w:noProof/>
        </w:rPr>
      </w:pPr>
      <w:r w:rsidRPr="00E12417">
        <w:rPr>
          <w:noProof/>
        </w:rPr>
        <w:t>In Belgian contracts dating from before 1993, t</w:t>
      </w:r>
      <w:r w:rsidR="00940A4E" w:rsidRPr="00E12417">
        <w:rPr>
          <w:noProof/>
        </w:rPr>
        <w:t xml:space="preserve">here </w:t>
      </w:r>
      <w:r w:rsidR="00A4227C" w:rsidRPr="00E12417">
        <w:rPr>
          <w:noProof/>
        </w:rPr>
        <w:t>are</w:t>
      </w:r>
      <w:r w:rsidR="00940A4E" w:rsidRPr="00E12417">
        <w:rPr>
          <w:noProof/>
        </w:rPr>
        <w:t xml:space="preserve"> no legal obstacle</w:t>
      </w:r>
      <w:r w:rsidR="00A4227C" w:rsidRPr="00E12417">
        <w:rPr>
          <w:noProof/>
        </w:rPr>
        <w:t xml:space="preserve">s </w:t>
      </w:r>
      <w:r w:rsidR="00940A4E" w:rsidRPr="00E12417">
        <w:rPr>
          <w:noProof/>
        </w:rPr>
        <w:t xml:space="preserve">to depositing </w:t>
      </w:r>
      <w:r w:rsidR="00A4227C" w:rsidRPr="00E12417">
        <w:rPr>
          <w:noProof/>
        </w:rPr>
        <w:t>digital copies of scientific articles</w:t>
      </w:r>
      <w:r w:rsidR="00940A4E" w:rsidRPr="00E12417">
        <w:rPr>
          <w:noProof/>
        </w:rPr>
        <w:t xml:space="preserve"> in a repository and making them Open Access immediately</w:t>
      </w:r>
      <w:r w:rsidR="00C371BA" w:rsidRPr="00E12417">
        <w:rPr>
          <w:noProof/>
        </w:rPr>
        <w:t xml:space="preserve">. </w:t>
      </w:r>
      <w:r w:rsidR="007A360E" w:rsidRPr="00E12417">
        <w:rPr>
          <w:noProof/>
        </w:rPr>
        <w:t xml:space="preserve">(See </w:t>
      </w:r>
      <w:r w:rsidR="00CD3276" w:rsidRPr="00E12417">
        <w:rPr>
          <w:rFonts w:eastAsia="SimSun" w:cs="font306"/>
          <w:noProof/>
          <w:lang w:eastAsia="fa-IR" w:bidi="fa-IR"/>
        </w:rPr>
        <w:t xml:space="preserve">Implementation </w:t>
      </w:r>
      <w:r w:rsidR="007A360E" w:rsidRPr="00E12417">
        <w:rPr>
          <w:noProof/>
        </w:rPr>
        <w:t>Note 4)</w:t>
      </w:r>
    </w:p>
    <w:p w:rsidR="004A615F" w:rsidRPr="00E12417" w:rsidRDefault="004A615F" w:rsidP="00103ED5">
      <w:pPr>
        <w:rPr>
          <w:noProof/>
        </w:rPr>
      </w:pPr>
    </w:p>
    <w:p w:rsidR="00762187" w:rsidRPr="00E12417" w:rsidRDefault="00762187" w:rsidP="00103ED5">
      <w:pPr>
        <w:rPr>
          <w:smallCaps/>
          <w:noProof/>
          <w:color w:val="0000CC"/>
          <w:sz w:val="24"/>
        </w:rPr>
      </w:pPr>
      <w:r w:rsidRPr="00E12417">
        <w:rPr>
          <w:smallCaps/>
          <w:noProof/>
          <w:color w:val="0000CC"/>
          <w:sz w:val="24"/>
        </w:rPr>
        <w:t xml:space="preserve">Furthering </w:t>
      </w:r>
      <w:r w:rsidR="00B52125" w:rsidRPr="00E12417">
        <w:rPr>
          <w:smallCaps/>
          <w:noProof/>
          <w:color w:val="0000CC"/>
          <w:sz w:val="24"/>
        </w:rPr>
        <w:t>C</w:t>
      </w:r>
      <w:r w:rsidRPr="00E12417">
        <w:rPr>
          <w:smallCaps/>
          <w:noProof/>
          <w:color w:val="0000CC"/>
          <w:sz w:val="24"/>
        </w:rPr>
        <w:t>ompliance</w:t>
      </w:r>
    </w:p>
    <w:p w:rsidR="00762187" w:rsidRPr="00E12417" w:rsidRDefault="00762187" w:rsidP="00103ED5">
      <w:pPr>
        <w:rPr>
          <w:noProof/>
        </w:rPr>
      </w:pPr>
    </w:p>
    <w:p w:rsidR="00103ED5" w:rsidRPr="00E12417" w:rsidRDefault="008E079D" w:rsidP="00103ED5">
      <w:pPr>
        <w:jc w:val="both"/>
        <w:rPr>
          <w:noProof/>
        </w:rPr>
      </w:pPr>
      <w:r w:rsidRPr="00E12417">
        <w:rPr>
          <w:noProof/>
        </w:rPr>
        <w:t>I</w:t>
      </w:r>
      <w:r w:rsidR="009F1910" w:rsidRPr="00E12417">
        <w:rPr>
          <w:noProof/>
        </w:rPr>
        <w:t>n order to be taken into account for</w:t>
      </w:r>
      <w:r w:rsidR="00103ED5" w:rsidRPr="00E12417">
        <w:rPr>
          <w:noProof/>
        </w:rPr>
        <w:t xml:space="preserve"> researchers’ evaluations, career advancement</w:t>
      </w:r>
      <w:r w:rsidR="00EF5722" w:rsidRPr="00E12417">
        <w:rPr>
          <w:noProof/>
        </w:rPr>
        <w:t>, internal job applications</w:t>
      </w:r>
      <w:r w:rsidR="00103ED5" w:rsidRPr="00E12417">
        <w:rPr>
          <w:noProof/>
        </w:rPr>
        <w:t xml:space="preserve"> or BELSPO research project funding, </w:t>
      </w:r>
      <w:r w:rsidR="005D257D" w:rsidRPr="00E12417">
        <w:rPr>
          <w:noProof/>
        </w:rPr>
        <w:t>research results covered by this mandate</w:t>
      </w:r>
      <w:r w:rsidR="009F1910" w:rsidRPr="00E12417">
        <w:rPr>
          <w:noProof/>
        </w:rPr>
        <w:t xml:space="preserve"> and covered by this mandate only</w:t>
      </w:r>
      <w:r w:rsidRPr="00E12417">
        <w:rPr>
          <w:noProof/>
        </w:rPr>
        <w:t xml:space="preserve"> </w:t>
      </w:r>
      <w:r w:rsidR="00103ED5" w:rsidRPr="00E12417">
        <w:rPr>
          <w:noProof/>
        </w:rPr>
        <w:t xml:space="preserve">will </w:t>
      </w:r>
      <w:r w:rsidR="009F1910" w:rsidRPr="00E12417">
        <w:rPr>
          <w:noProof/>
        </w:rPr>
        <w:t>have to be deposited (access to the content is optional) in</w:t>
      </w:r>
      <w:r w:rsidR="00103ED5" w:rsidRPr="00E12417">
        <w:rPr>
          <w:noProof/>
        </w:rPr>
        <w:t xml:space="preserve"> the applicants’ research organisation’s institution</w:t>
      </w:r>
      <w:r w:rsidR="005D257D" w:rsidRPr="00E12417">
        <w:rPr>
          <w:noProof/>
        </w:rPr>
        <w:t xml:space="preserve">al OA repository or </w:t>
      </w:r>
      <w:r w:rsidR="00EF5722" w:rsidRPr="00E12417">
        <w:rPr>
          <w:noProof/>
        </w:rPr>
        <w:t xml:space="preserve">in </w:t>
      </w:r>
      <w:r w:rsidR="005D257D" w:rsidRPr="00E12417">
        <w:rPr>
          <w:noProof/>
        </w:rPr>
        <w:t xml:space="preserve">Orfeo. </w:t>
      </w:r>
      <w:r w:rsidR="009F1910" w:rsidRPr="00E12417">
        <w:rPr>
          <w:noProof/>
        </w:rPr>
        <w:t xml:space="preserve">This mandate does not apply to </w:t>
      </w:r>
      <w:r w:rsidR="00EF5722" w:rsidRPr="00E12417">
        <w:rPr>
          <w:noProof/>
        </w:rPr>
        <w:t xml:space="preserve">other </w:t>
      </w:r>
      <w:r w:rsidR="009F1910" w:rsidRPr="00E12417">
        <w:rPr>
          <w:noProof/>
        </w:rPr>
        <w:t>research outpu</w:t>
      </w:r>
      <w:r w:rsidR="00EF5722" w:rsidRPr="00E12417">
        <w:rPr>
          <w:noProof/>
        </w:rPr>
        <w:t>t</w:t>
      </w:r>
      <w:r w:rsidR="009F1910" w:rsidRPr="00E12417">
        <w:rPr>
          <w:noProof/>
        </w:rPr>
        <w:t xml:space="preserve"> or se</w:t>
      </w:r>
      <w:r w:rsidR="00EF5722" w:rsidRPr="00E12417">
        <w:rPr>
          <w:noProof/>
        </w:rPr>
        <w:t>r</w:t>
      </w:r>
      <w:r w:rsidR="009F1910" w:rsidRPr="00E12417">
        <w:rPr>
          <w:noProof/>
        </w:rPr>
        <w:t xml:space="preserve">vices mentioned in the </w:t>
      </w:r>
      <w:r w:rsidR="00EF5722" w:rsidRPr="00E12417">
        <w:rPr>
          <w:noProof/>
        </w:rPr>
        <w:t xml:space="preserve">Ministerial Decree of 17 </w:t>
      </w:r>
      <w:r w:rsidR="00B47225" w:rsidRPr="00E12417">
        <w:rPr>
          <w:noProof/>
        </w:rPr>
        <w:t>September</w:t>
      </w:r>
      <w:r w:rsidR="00EF5722" w:rsidRPr="00E12417">
        <w:rPr>
          <w:noProof/>
        </w:rPr>
        <w:t xml:space="preserve"> 2012</w:t>
      </w:r>
      <w:r w:rsidR="00103ED5" w:rsidRPr="00E12417">
        <w:rPr>
          <w:noProof/>
        </w:rPr>
        <w:t>.</w:t>
      </w:r>
      <w:r w:rsidR="004128E6" w:rsidRPr="00E12417">
        <w:rPr>
          <w:noProof/>
          <w:vertAlign w:val="superscript"/>
        </w:rPr>
        <w:endnoteReference w:id="28"/>
      </w:r>
      <w:r w:rsidR="00103ED5" w:rsidRPr="00E12417">
        <w:rPr>
          <w:noProof/>
        </w:rPr>
        <w:t xml:space="preserve"> </w:t>
      </w:r>
      <w:r w:rsidR="00FA1004" w:rsidRPr="00E12417">
        <w:rPr>
          <w:noProof/>
        </w:rPr>
        <w:t>It is however recommended that the researchers' full bibliography, including research results not financed by BELSPO, be referenced and</w:t>
      </w:r>
      <w:r w:rsidR="00BB56FF" w:rsidRPr="00E12417">
        <w:rPr>
          <w:noProof/>
        </w:rPr>
        <w:t>, if feasable,</w:t>
      </w:r>
      <w:r w:rsidR="00FA1004" w:rsidRPr="00E12417">
        <w:rPr>
          <w:noProof/>
        </w:rPr>
        <w:t xml:space="preserve"> deposited in Orfeo</w:t>
      </w:r>
      <w:r w:rsidR="00DD3EE6" w:rsidRPr="00E12417">
        <w:rPr>
          <w:noProof/>
        </w:rPr>
        <w:t xml:space="preserve"> in order to be able to </w:t>
      </w:r>
      <w:r w:rsidR="00DD3EE6" w:rsidRPr="00E12417">
        <w:rPr>
          <w:noProof/>
        </w:rPr>
        <w:lastRenderedPageBreak/>
        <w:t>produce comprehensive and uniformised bibliographies</w:t>
      </w:r>
      <w:r w:rsidR="00FA1004" w:rsidRPr="00E12417">
        <w:rPr>
          <w:noProof/>
        </w:rPr>
        <w:t xml:space="preserve">. </w:t>
      </w:r>
      <w:r w:rsidR="00103ED5" w:rsidRPr="00E12417">
        <w:rPr>
          <w:noProof/>
        </w:rPr>
        <w:t xml:space="preserve">The date of deposit will be </w:t>
      </w:r>
      <w:r w:rsidR="00A40C14" w:rsidRPr="00E12417">
        <w:rPr>
          <w:noProof/>
        </w:rPr>
        <w:t>considered</w:t>
      </w:r>
      <w:r w:rsidR="00103ED5" w:rsidRPr="00E12417">
        <w:rPr>
          <w:noProof/>
        </w:rPr>
        <w:t xml:space="preserve"> in assessing compliance with BELSPO OA policy.</w:t>
      </w:r>
      <w:r w:rsidR="001F7EE2" w:rsidRPr="00E12417">
        <w:rPr>
          <w:noProof/>
        </w:rPr>
        <w:t xml:space="preserve"> All referenced deposits </w:t>
      </w:r>
      <w:r w:rsidR="005F4B08" w:rsidRPr="00E12417">
        <w:rPr>
          <w:noProof/>
        </w:rPr>
        <w:t>will be</w:t>
      </w:r>
      <w:r w:rsidR="001F7EE2" w:rsidRPr="00E12417">
        <w:rPr>
          <w:noProof/>
        </w:rPr>
        <w:t xml:space="preserve"> taken into account, </w:t>
      </w:r>
      <w:r w:rsidR="00755626" w:rsidRPr="00E12417">
        <w:rPr>
          <w:noProof/>
        </w:rPr>
        <w:t>with or without</w:t>
      </w:r>
      <w:r w:rsidR="001F7EE2" w:rsidRPr="00E12417">
        <w:rPr>
          <w:noProof/>
        </w:rPr>
        <w:t xml:space="preserve"> full text accessib</w:t>
      </w:r>
      <w:r w:rsidR="00755626" w:rsidRPr="00E12417">
        <w:rPr>
          <w:noProof/>
        </w:rPr>
        <w:t>ility</w:t>
      </w:r>
      <w:r w:rsidR="00EF5722" w:rsidRPr="00E12417">
        <w:rPr>
          <w:noProof/>
        </w:rPr>
        <w:t>.</w:t>
      </w:r>
    </w:p>
    <w:p w:rsidR="00103ED5" w:rsidRPr="00E12417" w:rsidRDefault="00103ED5" w:rsidP="00103ED5">
      <w:pPr>
        <w:jc w:val="both"/>
        <w:rPr>
          <w:noProof/>
        </w:rPr>
      </w:pPr>
    </w:p>
    <w:p w:rsidR="0069492A" w:rsidRPr="00E12417" w:rsidRDefault="0069492A" w:rsidP="00103ED5">
      <w:pPr>
        <w:jc w:val="both"/>
        <w:rPr>
          <w:noProof/>
        </w:rPr>
      </w:pPr>
      <w:r w:rsidRPr="00E12417">
        <w:rPr>
          <w:noProof/>
        </w:rPr>
        <w:t xml:space="preserve">Should conditions, independent </w:t>
      </w:r>
      <w:r w:rsidR="00B746D0" w:rsidRPr="00E12417">
        <w:rPr>
          <w:noProof/>
        </w:rPr>
        <w:t>from</w:t>
      </w:r>
      <w:r w:rsidRPr="00E12417">
        <w:rPr>
          <w:noProof/>
        </w:rPr>
        <w:t xml:space="preserve"> the author</w:t>
      </w:r>
      <w:r w:rsidR="00B746D0" w:rsidRPr="00E12417">
        <w:rPr>
          <w:noProof/>
        </w:rPr>
        <w:t>,</w:t>
      </w:r>
      <w:r w:rsidRPr="00E12417">
        <w:rPr>
          <w:noProof/>
        </w:rPr>
        <w:t xml:space="preserve"> prevent </w:t>
      </w:r>
      <w:r w:rsidR="00B746D0" w:rsidRPr="00E12417">
        <w:rPr>
          <w:noProof/>
        </w:rPr>
        <w:t>him or her from depositing research results in the above</w:t>
      </w:r>
      <w:r w:rsidR="00BC6219" w:rsidRPr="00E12417">
        <w:rPr>
          <w:noProof/>
        </w:rPr>
        <w:t xml:space="preserve"> </w:t>
      </w:r>
      <w:r w:rsidR="00B746D0" w:rsidRPr="00E12417">
        <w:rPr>
          <w:noProof/>
        </w:rPr>
        <w:t xml:space="preserve">mentioned repositories, the evaluation committees will fall back on </w:t>
      </w:r>
      <w:r w:rsidR="002E45EF" w:rsidRPr="00E12417">
        <w:rPr>
          <w:noProof/>
        </w:rPr>
        <w:t>former</w:t>
      </w:r>
      <w:r w:rsidR="00B746D0" w:rsidRPr="00E12417">
        <w:rPr>
          <w:noProof/>
        </w:rPr>
        <w:t xml:space="preserve"> evaluation practices.</w:t>
      </w:r>
    </w:p>
    <w:p w:rsidR="0069492A" w:rsidRPr="00E12417" w:rsidRDefault="0069492A" w:rsidP="00103ED5">
      <w:pPr>
        <w:jc w:val="both"/>
        <w:rPr>
          <w:noProof/>
        </w:rPr>
      </w:pPr>
    </w:p>
    <w:p w:rsidR="00103ED5" w:rsidRPr="00E12417" w:rsidRDefault="0069492A" w:rsidP="00103ED5">
      <w:pPr>
        <w:jc w:val="both"/>
        <w:rPr>
          <w:noProof/>
        </w:rPr>
      </w:pPr>
      <w:r w:rsidRPr="00E12417">
        <w:rPr>
          <w:noProof/>
        </w:rPr>
        <w:t>I</w:t>
      </w:r>
      <w:r w:rsidR="00103ED5" w:rsidRPr="00E12417">
        <w:rPr>
          <w:noProof/>
        </w:rPr>
        <w:t>n cases of noncompliance with the BELSPO APC</w:t>
      </w:r>
      <w:r w:rsidR="001F7EE2" w:rsidRPr="00E12417">
        <w:rPr>
          <w:noProof/>
        </w:rPr>
        <w:t>, embargo, licence</w:t>
      </w:r>
      <w:r w:rsidR="00103ED5" w:rsidRPr="00E12417">
        <w:rPr>
          <w:noProof/>
        </w:rPr>
        <w:t xml:space="preserve"> and copyright policies, concerned publications will not be taken into account.</w:t>
      </w:r>
      <w:r w:rsidR="006F6C95" w:rsidRPr="00E12417">
        <w:rPr>
          <w:noProof/>
        </w:rPr>
        <w:t xml:space="preserve"> Exceptions may be granted by the </w:t>
      </w:r>
      <w:r w:rsidR="00A63692" w:rsidRPr="00E12417">
        <w:rPr>
          <w:noProof/>
        </w:rPr>
        <w:t>Orfeo Committee</w:t>
      </w:r>
      <w:r w:rsidR="006F6C95" w:rsidRPr="00E12417">
        <w:rPr>
          <w:noProof/>
        </w:rPr>
        <w:t>.</w:t>
      </w:r>
    </w:p>
    <w:p w:rsidR="00103ED5" w:rsidRPr="00E12417" w:rsidRDefault="00103ED5" w:rsidP="00103ED5">
      <w:pPr>
        <w:jc w:val="both"/>
        <w:rPr>
          <w:noProof/>
        </w:rPr>
      </w:pPr>
    </w:p>
    <w:p w:rsidR="00593DA4" w:rsidRPr="00E12417" w:rsidRDefault="00103ED5" w:rsidP="00593DA4">
      <w:pPr>
        <w:jc w:val="both"/>
        <w:rPr>
          <w:noProof/>
        </w:rPr>
      </w:pPr>
      <w:r w:rsidRPr="00E12417">
        <w:rPr>
          <w:noProof/>
        </w:rPr>
        <w:t xml:space="preserve">On the other hand, Orfeo will </w:t>
      </w:r>
      <w:r w:rsidR="00755626" w:rsidRPr="00E12417">
        <w:rPr>
          <w:noProof/>
        </w:rPr>
        <w:t xml:space="preserve">gradually </w:t>
      </w:r>
      <w:r w:rsidRPr="00E12417">
        <w:rPr>
          <w:noProof/>
        </w:rPr>
        <w:t>provide the depositing researcher with state of the art</w:t>
      </w:r>
      <w:r w:rsidR="008330BA">
        <w:rPr>
          <w:noProof/>
        </w:rPr>
        <w:t xml:space="preserve"> and permanently updated</w:t>
      </w:r>
      <w:r w:rsidRPr="00E12417">
        <w:rPr>
          <w:noProof/>
        </w:rPr>
        <w:t xml:space="preserve"> </w:t>
      </w:r>
      <w:r w:rsidR="00567226" w:rsidRPr="00E12417">
        <w:rPr>
          <w:noProof/>
        </w:rPr>
        <w:t xml:space="preserve">listing options, </w:t>
      </w:r>
      <w:r w:rsidRPr="00E12417">
        <w:rPr>
          <w:noProof/>
        </w:rPr>
        <w:t xml:space="preserve">indicators and </w:t>
      </w:r>
      <w:r w:rsidR="00567226" w:rsidRPr="00E12417">
        <w:rPr>
          <w:noProof/>
        </w:rPr>
        <w:t>metrics</w:t>
      </w:r>
      <w:r w:rsidRPr="00E12417">
        <w:rPr>
          <w:noProof/>
        </w:rPr>
        <w:t xml:space="preserve">, with increased visibility and referencing with popular </w:t>
      </w:r>
      <w:r w:rsidR="00D62D37" w:rsidRPr="00E12417">
        <w:rPr>
          <w:noProof/>
        </w:rPr>
        <w:t>search engines</w:t>
      </w:r>
      <w:r w:rsidRPr="00E12417">
        <w:rPr>
          <w:noProof/>
        </w:rPr>
        <w:t xml:space="preserve"> and with a professional, internationally recommended set of metadata describing his deposit.</w:t>
      </w:r>
      <w:r w:rsidR="00E271B4" w:rsidRPr="00E12417">
        <w:rPr>
          <w:noProof/>
        </w:rPr>
        <w:t xml:space="preserve"> (See </w:t>
      </w:r>
      <w:r w:rsidR="0032413D" w:rsidRPr="00E12417">
        <w:rPr>
          <w:rFonts w:eastAsia="SimSun" w:cs="font306"/>
          <w:noProof/>
          <w:lang w:eastAsia="fa-IR" w:bidi="fa-IR"/>
        </w:rPr>
        <w:t>Annex IV-1.1.</w:t>
      </w:r>
      <w:r w:rsidR="00E271B4" w:rsidRPr="00E12417">
        <w:rPr>
          <w:noProof/>
        </w:rPr>
        <w:t>)</w:t>
      </w:r>
    </w:p>
    <w:p w:rsidR="00593DA4" w:rsidRPr="00E12417" w:rsidRDefault="00593DA4" w:rsidP="00593DA4">
      <w:pPr>
        <w:jc w:val="both"/>
        <w:rPr>
          <w:noProof/>
        </w:rPr>
      </w:pPr>
    </w:p>
    <w:p w:rsidR="00593DA4" w:rsidRPr="00E12417" w:rsidRDefault="00593DA4" w:rsidP="00593DA4">
      <w:pPr>
        <w:jc w:val="both"/>
        <w:rPr>
          <w:rFonts w:ascii="CG Omega" w:hAnsi="CG Omega"/>
          <w:noProof/>
          <w:sz w:val="24"/>
          <w:szCs w:val="24"/>
        </w:rPr>
      </w:pPr>
    </w:p>
    <w:p w:rsidR="00593DA4" w:rsidRDefault="00593DA4" w:rsidP="00520E3D">
      <w:pPr>
        <w:tabs>
          <w:tab w:val="left" w:pos="2694"/>
        </w:tabs>
        <w:jc w:val="center"/>
        <w:rPr>
          <w:rFonts w:ascii="CG Omega" w:hAnsi="CG Omega"/>
          <w:noProof/>
          <w:sz w:val="24"/>
          <w:szCs w:val="24"/>
        </w:rPr>
      </w:pPr>
      <w:r w:rsidRPr="00E12417">
        <w:rPr>
          <w:rFonts w:ascii="CG Omega" w:hAnsi="CG Omega"/>
          <w:noProof/>
          <w:sz w:val="24"/>
          <w:szCs w:val="24"/>
        </w:rPr>
        <w:t>____________________</w:t>
      </w:r>
    </w:p>
    <w:p w:rsidR="00904682" w:rsidRDefault="00904682" w:rsidP="00520E3D">
      <w:pPr>
        <w:tabs>
          <w:tab w:val="left" w:pos="2694"/>
        </w:tabs>
        <w:jc w:val="center"/>
        <w:rPr>
          <w:rFonts w:ascii="CG Omega" w:hAnsi="CG Omega"/>
          <w:noProof/>
          <w:sz w:val="24"/>
          <w:szCs w:val="24"/>
        </w:rPr>
      </w:pPr>
    </w:p>
    <w:p w:rsidR="00904682" w:rsidRDefault="00904682" w:rsidP="00520E3D">
      <w:pPr>
        <w:tabs>
          <w:tab w:val="left" w:pos="2694"/>
        </w:tabs>
        <w:jc w:val="center"/>
        <w:rPr>
          <w:rFonts w:ascii="CG Omega" w:hAnsi="CG Omega"/>
          <w:noProof/>
          <w:sz w:val="24"/>
          <w:szCs w:val="24"/>
        </w:rPr>
      </w:pPr>
    </w:p>
    <w:p w:rsidR="00904682" w:rsidRPr="005F4B08" w:rsidRDefault="00904682" w:rsidP="00520E3D">
      <w:pPr>
        <w:tabs>
          <w:tab w:val="left" w:pos="2694"/>
        </w:tabs>
        <w:jc w:val="center"/>
        <w:rPr>
          <w:rFonts w:ascii="CG Omega" w:hAnsi="CG Omega"/>
          <w:noProof/>
          <w:sz w:val="24"/>
          <w:szCs w:val="24"/>
        </w:rPr>
      </w:pPr>
    </w:p>
    <w:sectPr w:rsidR="00904682" w:rsidRPr="005F4B08" w:rsidSect="00440ABF">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12F" w:rsidRDefault="009B212F" w:rsidP="00B5112C">
      <w:r>
        <w:separator/>
      </w:r>
    </w:p>
  </w:endnote>
  <w:endnote w:type="continuationSeparator" w:id="0">
    <w:p w:rsidR="009B212F" w:rsidRDefault="009B212F" w:rsidP="00B5112C">
      <w:r>
        <w:continuationSeparator/>
      </w:r>
    </w:p>
  </w:endnote>
  <w:endnote w:id="1">
    <w:p w:rsidR="00017A2B" w:rsidRPr="00BE35CA" w:rsidRDefault="00017A2B" w:rsidP="00103ED5">
      <w:pPr>
        <w:ind w:left="284" w:hanging="284"/>
        <w:contextualSpacing/>
        <w:jc w:val="both"/>
        <w:rPr>
          <w:sz w:val="18"/>
          <w:szCs w:val="18"/>
        </w:rPr>
      </w:pPr>
      <w:r w:rsidRPr="00BE35CA">
        <w:rPr>
          <w:rStyle w:val="EndnoteReference"/>
          <w:sz w:val="18"/>
          <w:szCs w:val="18"/>
        </w:rPr>
        <w:endnoteRef/>
      </w:r>
      <w:r w:rsidRPr="00BE35CA">
        <w:rPr>
          <w:sz w:val="18"/>
          <w:szCs w:val="18"/>
        </w:rPr>
        <w:tab/>
      </w:r>
      <w:r w:rsidRPr="00AC41EF">
        <w:rPr>
          <w:rFonts w:cs="Verdana"/>
          <w:iCs/>
          <w:color w:val="000000"/>
          <w:sz w:val="18"/>
          <w:szCs w:val="18"/>
        </w:rPr>
        <w:t>http://www.budapestopenaccessinitiative.org/read</w:t>
      </w:r>
    </w:p>
  </w:endnote>
  <w:endnote w:id="2">
    <w:p w:rsidR="00017A2B" w:rsidRPr="00BE35CA" w:rsidRDefault="00017A2B" w:rsidP="00AA0331">
      <w:pPr>
        <w:ind w:left="284" w:hanging="284"/>
        <w:contextualSpacing/>
        <w:jc w:val="both"/>
        <w:rPr>
          <w:sz w:val="18"/>
          <w:szCs w:val="18"/>
        </w:rPr>
      </w:pPr>
      <w:r w:rsidRPr="00BE35CA">
        <w:rPr>
          <w:rStyle w:val="EndnoteReference"/>
          <w:sz w:val="18"/>
          <w:szCs w:val="18"/>
        </w:rPr>
        <w:endnoteRef/>
      </w:r>
      <w:r w:rsidRPr="00BE35CA">
        <w:rPr>
          <w:rStyle w:val="FootnoteReference2"/>
          <w:sz w:val="18"/>
          <w:szCs w:val="18"/>
        </w:rPr>
        <w:tab/>
      </w:r>
      <w:r w:rsidRPr="00AA0331">
        <w:rPr>
          <w:rFonts w:cs="Verdana"/>
          <w:iCs/>
          <w:color w:val="000000"/>
          <w:sz w:val="18"/>
          <w:szCs w:val="18"/>
        </w:rPr>
        <w:t>https://openaccess.mpg.de/Berlin-Declaration</w:t>
      </w:r>
    </w:p>
  </w:endnote>
  <w:endnote w:id="3">
    <w:p w:rsidR="00017A2B" w:rsidRPr="00BE35CA" w:rsidRDefault="00017A2B" w:rsidP="00AA0331">
      <w:pPr>
        <w:pStyle w:val="FootnoteText2"/>
        <w:ind w:left="284" w:hanging="284"/>
        <w:contextualSpacing/>
        <w:jc w:val="both"/>
        <w:rPr>
          <w:sz w:val="18"/>
          <w:szCs w:val="18"/>
        </w:rPr>
      </w:pPr>
      <w:r w:rsidRPr="00BE35CA">
        <w:rPr>
          <w:rStyle w:val="EndnoteReference"/>
          <w:sz w:val="18"/>
          <w:szCs w:val="18"/>
        </w:rPr>
        <w:endnoteRef/>
      </w:r>
      <w:r w:rsidRPr="00BE35CA">
        <w:rPr>
          <w:rStyle w:val="FootnoteReference2"/>
          <w:sz w:val="18"/>
          <w:szCs w:val="18"/>
        </w:rPr>
        <w:tab/>
      </w:r>
      <w:r w:rsidRPr="00AA0331">
        <w:rPr>
          <w:rFonts w:cs="Verdana"/>
          <w:iCs/>
          <w:color w:val="000000"/>
          <w:sz w:val="18"/>
          <w:szCs w:val="18"/>
        </w:rPr>
        <w:t>https://ec.europa.eu/research/science-society/document_library/pdf_06/recommendation-access-and-preservation-scientific-information_en.pdf</w:t>
      </w:r>
    </w:p>
  </w:endnote>
  <w:endnote w:id="4">
    <w:p w:rsidR="00017A2B" w:rsidRPr="00BE35CA" w:rsidRDefault="00017A2B" w:rsidP="00F81DC5">
      <w:pPr>
        <w:pStyle w:val="FootnoteText2"/>
        <w:ind w:left="284" w:hanging="284"/>
        <w:contextualSpacing/>
        <w:jc w:val="both"/>
        <w:rPr>
          <w:sz w:val="18"/>
          <w:szCs w:val="18"/>
        </w:rPr>
      </w:pPr>
      <w:r w:rsidRPr="00BE35CA">
        <w:rPr>
          <w:rStyle w:val="EndnoteReference"/>
          <w:sz w:val="18"/>
          <w:szCs w:val="18"/>
        </w:rPr>
        <w:endnoteRef/>
      </w:r>
      <w:r w:rsidRPr="00BE35CA">
        <w:rPr>
          <w:rStyle w:val="FootnoteReference2"/>
          <w:sz w:val="18"/>
          <w:szCs w:val="18"/>
        </w:rPr>
        <w:tab/>
      </w:r>
      <w:r w:rsidRPr="003168FD">
        <w:rPr>
          <w:rFonts w:cs="Verdana"/>
          <w:iCs/>
          <w:color w:val="000000"/>
          <w:sz w:val="18"/>
          <w:szCs w:val="18"/>
        </w:rPr>
        <w:t>https://openaccessbelgium.files.wordpress.com/2012/11/signedbrussels-declaration-on-open-access.pdf</w:t>
      </w:r>
    </w:p>
  </w:endnote>
  <w:endnote w:id="5">
    <w:p w:rsidR="00017A2B" w:rsidRPr="00BE35CA" w:rsidRDefault="00017A2B" w:rsidP="00F81DC5">
      <w:pPr>
        <w:pStyle w:val="EndnoteText"/>
        <w:ind w:left="284" w:hanging="284"/>
        <w:jc w:val="both"/>
        <w:rPr>
          <w:sz w:val="18"/>
        </w:rPr>
      </w:pPr>
      <w:r w:rsidRPr="00BE35CA">
        <w:rPr>
          <w:rStyle w:val="EndnoteReference"/>
        </w:rPr>
        <w:endnoteRef/>
      </w:r>
      <w:r w:rsidRPr="00BE35CA">
        <w:rPr>
          <w:sz w:val="18"/>
        </w:rPr>
        <w:tab/>
      </w:r>
      <w:hyperlink r:id="rId1" w:history="1">
        <w:r w:rsidRPr="006C18EA">
          <w:rPr>
            <w:rStyle w:val="Hyperlink"/>
            <w:sz w:val="18"/>
          </w:rPr>
          <w:t>https://www.belspo.be/belspo/coordination/doc/scienPol/20160428%20National%20ERA%20Roadmap%20VF.pdf</w:t>
        </w:r>
      </w:hyperlink>
      <w:r>
        <w:rPr>
          <w:sz w:val="18"/>
        </w:rPr>
        <w:t xml:space="preserve"> (See p. 26)</w:t>
      </w:r>
    </w:p>
  </w:endnote>
  <w:endnote w:id="6">
    <w:p w:rsidR="00017A2B" w:rsidRPr="00BE35CA" w:rsidRDefault="00017A2B" w:rsidP="00F81DC5">
      <w:pPr>
        <w:ind w:left="284" w:hanging="284"/>
        <w:contextualSpacing/>
        <w:jc w:val="both"/>
        <w:rPr>
          <w:sz w:val="18"/>
          <w:szCs w:val="18"/>
        </w:rPr>
      </w:pPr>
      <w:r w:rsidRPr="00BE35CA">
        <w:rPr>
          <w:rStyle w:val="EndnoteReference"/>
          <w:sz w:val="18"/>
          <w:szCs w:val="18"/>
        </w:rPr>
        <w:endnoteRef/>
      </w:r>
      <w:r w:rsidRPr="00BE35CA">
        <w:rPr>
          <w:rStyle w:val="FootnoteReference2"/>
          <w:sz w:val="18"/>
          <w:szCs w:val="18"/>
        </w:rPr>
        <w:tab/>
      </w:r>
      <w:r w:rsidRPr="00BE35CA">
        <w:rPr>
          <w:rFonts w:cs="Verdana"/>
          <w:iCs/>
          <w:color w:val="000000"/>
          <w:sz w:val="18"/>
          <w:szCs w:val="18"/>
        </w:rPr>
        <w:t>In that d</w:t>
      </w:r>
      <w:r w:rsidRPr="00B12880">
        <w:rPr>
          <w:rFonts w:eastAsia="SimSun" w:cs="font306"/>
          <w:sz w:val="18"/>
          <w:szCs w:val="20"/>
          <w:lang w:eastAsia="fa-IR" w:bidi="fa-IR"/>
        </w:rPr>
        <w:t xml:space="preserve">ocument it was stated that the creation of the </w:t>
      </w:r>
      <w:proofErr w:type="spellStart"/>
      <w:r w:rsidRPr="00B12880">
        <w:rPr>
          <w:rFonts w:eastAsia="SimSun" w:cs="font306"/>
          <w:sz w:val="18"/>
          <w:szCs w:val="20"/>
          <w:lang w:eastAsia="fa-IR" w:bidi="fa-IR"/>
        </w:rPr>
        <w:t>Orfeo</w:t>
      </w:r>
      <w:proofErr w:type="spellEnd"/>
      <w:r w:rsidRPr="00B12880">
        <w:rPr>
          <w:rFonts w:eastAsia="SimSun" w:cs="font306"/>
          <w:sz w:val="18"/>
          <w:szCs w:val="20"/>
          <w:lang w:eastAsia="fa-IR" w:bidi="fa-IR"/>
        </w:rPr>
        <w:t xml:space="preserve"> federal Open Access repository allows for savings, more citations, visibility and impact, but also counters excessive journal demands. Furthermore having different institutions use a joint publication platform favours durability, excellence and diffusion and prevents redundant spending.</w:t>
      </w:r>
      <w:r>
        <w:rPr>
          <w:rFonts w:eastAsia="SimSun" w:cs="font306"/>
          <w:sz w:val="18"/>
          <w:szCs w:val="20"/>
          <w:lang w:eastAsia="fa-IR" w:bidi="fa-IR"/>
        </w:rPr>
        <w:t xml:space="preserve"> (</w:t>
      </w:r>
      <w:r w:rsidRPr="007018D6">
        <w:rPr>
          <w:rFonts w:eastAsia="SimSun" w:cs="font306"/>
          <w:sz w:val="18"/>
          <w:szCs w:val="20"/>
          <w:lang w:eastAsia="fa-IR" w:bidi="fa-IR"/>
        </w:rPr>
        <w:t>http://www.lachambre.be/FLWB/PDF/54/2708/54K2708012.pdf</w:t>
      </w:r>
      <w:r>
        <w:rPr>
          <w:rFonts w:eastAsia="SimSun" w:cs="font306"/>
          <w:sz w:val="18"/>
          <w:szCs w:val="20"/>
          <w:lang w:eastAsia="fa-IR" w:bidi="fa-IR"/>
        </w:rPr>
        <w:t>)</w:t>
      </w:r>
    </w:p>
  </w:endnote>
  <w:endnote w:id="7">
    <w:p w:rsidR="00017A2B" w:rsidRPr="00BE35CA" w:rsidRDefault="00017A2B" w:rsidP="00F81DC5">
      <w:pPr>
        <w:pStyle w:val="EndnoteText"/>
        <w:ind w:left="284" w:hanging="284"/>
        <w:jc w:val="both"/>
      </w:pPr>
      <w:r w:rsidRPr="00BE35CA">
        <w:rPr>
          <w:rStyle w:val="EndnoteReference"/>
        </w:rPr>
        <w:endnoteRef/>
      </w:r>
      <w:r w:rsidRPr="00BE35CA">
        <w:tab/>
      </w:r>
      <w:r w:rsidRPr="00BE35CA">
        <w:rPr>
          <w:rFonts w:cs="Verdana"/>
          <w:iCs/>
          <w:color w:val="000000"/>
          <w:sz w:val="18"/>
          <w:szCs w:val="18"/>
        </w:rPr>
        <w:t>The Administrative Agreement calls for the implementation of a</w:t>
      </w:r>
      <w:r>
        <w:rPr>
          <w:rFonts w:cs="Verdana"/>
          <w:iCs/>
          <w:color w:val="000000"/>
          <w:sz w:val="18"/>
          <w:szCs w:val="18"/>
        </w:rPr>
        <w:t>n</w:t>
      </w:r>
      <w:r w:rsidRPr="00BE35CA">
        <w:rPr>
          <w:rFonts w:cs="Verdana"/>
          <w:iCs/>
          <w:color w:val="000000"/>
          <w:sz w:val="18"/>
          <w:szCs w:val="18"/>
        </w:rPr>
        <w:t xml:space="preserve"> Institutional Open Access Repository for Scientific Institutions of all federal departments, for its transfer to the Royal Library where it will be merged with the Legal Depot. It furthermore calls for the drafting of a federal Open Access policy in consultation with internal, federal, </w:t>
      </w:r>
      <w:proofErr w:type="spellStart"/>
      <w:r w:rsidRPr="00BE35CA">
        <w:rPr>
          <w:rFonts w:cs="Verdana"/>
          <w:iCs/>
          <w:color w:val="000000"/>
          <w:sz w:val="18"/>
          <w:szCs w:val="18"/>
        </w:rPr>
        <w:t>interfederal</w:t>
      </w:r>
      <w:proofErr w:type="spellEnd"/>
      <w:r w:rsidRPr="00BE35CA">
        <w:rPr>
          <w:rFonts w:cs="Verdana"/>
          <w:iCs/>
          <w:color w:val="000000"/>
          <w:sz w:val="18"/>
          <w:szCs w:val="18"/>
        </w:rPr>
        <w:t xml:space="preserve"> and international stakeholders.</w:t>
      </w:r>
      <w:r>
        <w:rPr>
          <w:rFonts w:cs="Verdana"/>
          <w:iCs/>
          <w:color w:val="000000"/>
          <w:sz w:val="18"/>
          <w:szCs w:val="18"/>
        </w:rPr>
        <w:t xml:space="preserve"> (</w:t>
      </w:r>
      <w:r w:rsidRPr="00855EE4">
        <w:rPr>
          <w:rFonts w:cs="Verdana"/>
          <w:iCs/>
          <w:color w:val="000000"/>
          <w:sz w:val="18"/>
          <w:szCs w:val="18"/>
        </w:rPr>
        <w:t>http://www.belspo.be/belspo/organisation/managagree_en.stm</w:t>
      </w:r>
      <w:r>
        <w:rPr>
          <w:rFonts w:cs="Verdana"/>
          <w:iCs/>
          <w:color w:val="000000"/>
          <w:sz w:val="18"/>
          <w:szCs w:val="18"/>
        </w:rPr>
        <w:t>)</w:t>
      </w:r>
    </w:p>
  </w:endnote>
  <w:endnote w:id="8">
    <w:p w:rsidR="00017A2B" w:rsidRPr="00BE35CA" w:rsidRDefault="00017A2B" w:rsidP="00F81DC5">
      <w:pPr>
        <w:pStyle w:val="FootnoteText2"/>
        <w:ind w:left="284" w:hanging="284"/>
        <w:contextualSpacing/>
        <w:jc w:val="both"/>
        <w:rPr>
          <w:sz w:val="18"/>
          <w:szCs w:val="18"/>
        </w:rPr>
      </w:pPr>
      <w:r w:rsidRPr="00BE35CA">
        <w:rPr>
          <w:rStyle w:val="EndnoteReference"/>
          <w:sz w:val="18"/>
          <w:szCs w:val="18"/>
        </w:rPr>
        <w:endnoteRef/>
      </w:r>
      <w:r w:rsidRPr="00BE35CA">
        <w:rPr>
          <w:rStyle w:val="FootnoteReference2"/>
          <w:sz w:val="18"/>
          <w:szCs w:val="18"/>
        </w:rPr>
        <w:tab/>
      </w:r>
      <w:r w:rsidRPr="00BE35CA">
        <w:rPr>
          <w:rFonts w:cs="Verdana"/>
          <w:iCs/>
          <w:color w:val="000000"/>
          <w:sz w:val="18"/>
          <w:szCs w:val="18"/>
        </w:rPr>
        <w:t xml:space="preserve">The </w:t>
      </w:r>
      <w:proofErr w:type="spellStart"/>
      <w:r w:rsidRPr="00BE35CA">
        <w:rPr>
          <w:rFonts w:cs="Verdana"/>
          <w:iCs/>
          <w:color w:val="000000"/>
          <w:sz w:val="18"/>
          <w:szCs w:val="18"/>
        </w:rPr>
        <w:t>Interfederal</w:t>
      </w:r>
      <w:proofErr w:type="spellEnd"/>
      <w:r w:rsidRPr="00BE35CA">
        <w:rPr>
          <w:rFonts w:cs="Verdana"/>
          <w:iCs/>
          <w:color w:val="000000"/>
          <w:sz w:val="18"/>
          <w:szCs w:val="18"/>
        </w:rPr>
        <w:t xml:space="preserve"> Consultation Group CIS-CFS Open Science consists of representatives of the Belgian Federal level, of the federated entities and of the Belgian advocacy group ‘Open Access Belgium’ (Specialists of the University libraries of </w:t>
      </w:r>
      <w:proofErr w:type="spellStart"/>
      <w:r w:rsidRPr="00BE35CA">
        <w:rPr>
          <w:rFonts w:cs="Verdana"/>
          <w:iCs/>
          <w:color w:val="000000"/>
          <w:sz w:val="18"/>
          <w:szCs w:val="18"/>
        </w:rPr>
        <w:t>UGent</w:t>
      </w:r>
      <w:proofErr w:type="spellEnd"/>
      <w:r w:rsidRPr="00BE35CA">
        <w:rPr>
          <w:rFonts w:cs="Verdana"/>
          <w:iCs/>
          <w:color w:val="000000"/>
          <w:sz w:val="18"/>
          <w:szCs w:val="18"/>
        </w:rPr>
        <w:t xml:space="preserve"> and </w:t>
      </w:r>
      <w:proofErr w:type="spellStart"/>
      <w:r w:rsidRPr="00BE35CA">
        <w:rPr>
          <w:rFonts w:cs="Verdana"/>
          <w:iCs/>
          <w:color w:val="000000"/>
          <w:sz w:val="18"/>
          <w:szCs w:val="18"/>
        </w:rPr>
        <w:t>ULg</w:t>
      </w:r>
      <w:proofErr w:type="spellEnd"/>
      <w:r w:rsidRPr="00BE35CA">
        <w:rPr>
          <w:rFonts w:cs="Verdana"/>
          <w:iCs/>
          <w:color w:val="000000"/>
          <w:sz w:val="18"/>
          <w:szCs w:val="18"/>
        </w:rPr>
        <w:t xml:space="preserve">, Creative Commons, Electronic Information for Libraries and the EC’s OA repository helpdesk). </w:t>
      </w:r>
      <w:r>
        <w:rPr>
          <w:rFonts w:cs="Verdana"/>
          <w:iCs/>
          <w:color w:val="000000"/>
          <w:sz w:val="18"/>
          <w:szCs w:val="18"/>
        </w:rPr>
        <w:t>(</w:t>
      </w:r>
      <w:r w:rsidRPr="00EF0BC3">
        <w:rPr>
          <w:rFonts w:cs="Verdana"/>
          <w:iCs/>
          <w:color w:val="000000"/>
          <w:sz w:val="18"/>
          <w:szCs w:val="18"/>
        </w:rPr>
        <w:t>http://www.belspo.be/belspo/coordination/addgrp.asp?l=en&amp;group=CFS-CIS Open Science</w:t>
      </w:r>
      <w:r>
        <w:rPr>
          <w:rFonts w:cs="Verdana"/>
          <w:iCs/>
          <w:color w:val="000000"/>
          <w:sz w:val="18"/>
          <w:szCs w:val="18"/>
        </w:rPr>
        <w:t>)</w:t>
      </w:r>
    </w:p>
  </w:endnote>
  <w:endnote w:id="9">
    <w:p w:rsidR="00017A2B" w:rsidRPr="00BE35CA" w:rsidRDefault="00017A2B" w:rsidP="00F81DC5">
      <w:pPr>
        <w:pStyle w:val="Default"/>
        <w:ind w:left="284" w:hanging="284"/>
        <w:contextualSpacing/>
        <w:jc w:val="both"/>
        <w:rPr>
          <w:rFonts w:asciiTheme="minorHAnsi" w:hAnsiTheme="minorHAnsi" w:cs="Calibri"/>
          <w:sz w:val="18"/>
          <w:szCs w:val="18"/>
          <w:lang w:val="en-GB"/>
        </w:rPr>
      </w:pPr>
      <w:r w:rsidRPr="00BE35CA">
        <w:rPr>
          <w:rStyle w:val="EndnoteReference"/>
          <w:rFonts w:asciiTheme="minorHAnsi" w:hAnsiTheme="minorHAnsi"/>
          <w:sz w:val="18"/>
          <w:szCs w:val="18"/>
          <w:lang w:val="en-GB"/>
        </w:rPr>
        <w:endnoteRef/>
      </w:r>
      <w:r w:rsidRPr="00BE35CA">
        <w:rPr>
          <w:rFonts w:asciiTheme="minorHAnsi" w:hAnsiTheme="minorHAnsi"/>
          <w:sz w:val="18"/>
          <w:szCs w:val="18"/>
          <w:lang w:val="en-GB"/>
        </w:rPr>
        <w:tab/>
        <w:t>"</w:t>
      </w:r>
      <w:r w:rsidRPr="00BE35CA">
        <w:rPr>
          <w:rFonts w:asciiTheme="minorHAnsi" w:eastAsia="SimSun" w:hAnsiTheme="minorHAnsi" w:cs="font306"/>
          <w:color w:val="auto"/>
          <w:sz w:val="18"/>
          <w:szCs w:val="18"/>
          <w:lang w:val="en-GB" w:eastAsia="fa-IR" w:bidi="fa-IR"/>
        </w:rPr>
        <w:t>Business models for scientific publishing should be built for the benefit of the scientific enterprise"</w:t>
      </w:r>
      <w:r w:rsidR="00954815">
        <w:rPr>
          <w:rFonts w:asciiTheme="minorHAnsi" w:hAnsiTheme="minorHAnsi"/>
          <w:sz w:val="18"/>
          <w:szCs w:val="18"/>
          <w:lang w:val="en-GB"/>
        </w:rPr>
        <w:t xml:space="preserve"> -</w:t>
      </w:r>
      <w:r w:rsidR="00954815" w:rsidRPr="005F4B08">
        <w:rPr>
          <w:rFonts w:asciiTheme="minorHAnsi" w:hAnsiTheme="minorHAnsi"/>
          <w:sz w:val="18"/>
          <w:szCs w:val="18"/>
          <w:lang w:val="en-GB"/>
        </w:rPr>
        <w:t xml:space="preserve"> </w:t>
      </w:r>
      <w:r w:rsidR="00954815">
        <w:rPr>
          <w:rFonts w:ascii="Calibri" w:hAnsi="Calibri"/>
          <w:sz w:val="18"/>
          <w:szCs w:val="18"/>
          <w:lang w:val="en-GB"/>
        </w:rPr>
        <w:t>International Council for Science</w:t>
      </w:r>
      <w:r w:rsidR="00954815" w:rsidRPr="005F4B08">
        <w:rPr>
          <w:rFonts w:ascii="Calibri" w:hAnsi="Calibri"/>
          <w:sz w:val="18"/>
          <w:szCs w:val="18"/>
          <w:lang w:val="en-GB"/>
        </w:rPr>
        <w:t xml:space="preserve"> </w:t>
      </w:r>
      <w:r w:rsidR="00954815" w:rsidRPr="005F4B08">
        <w:rPr>
          <w:rFonts w:asciiTheme="minorHAnsi" w:hAnsiTheme="minorHAnsi"/>
          <w:sz w:val="18"/>
          <w:szCs w:val="18"/>
          <w:lang w:val="en-GB"/>
        </w:rPr>
        <w:t>(</w:t>
      </w:r>
      <w:r w:rsidR="00954815" w:rsidRPr="00233A41">
        <w:rPr>
          <w:rFonts w:asciiTheme="minorHAnsi" w:hAnsiTheme="minorHAnsi"/>
          <w:sz w:val="18"/>
          <w:szCs w:val="18"/>
          <w:lang w:val="en-GB"/>
        </w:rPr>
        <w:t>http://docplayer.net/51643464-Open-access-to-scientific-data-and-literature-and-the-assessment-of-research-by-metrics.html</w:t>
      </w:r>
      <w:r w:rsidR="00954815" w:rsidRPr="005F4B08">
        <w:rPr>
          <w:rFonts w:asciiTheme="minorHAnsi" w:hAnsiTheme="minorHAnsi"/>
          <w:sz w:val="18"/>
          <w:szCs w:val="18"/>
          <w:lang w:val="en-GB"/>
        </w:rPr>
        <w:t>)</w:t>
      </w:r>
    </w:p>
  </w:endnote>
  <w:endnote w:id="10">
    <w:p w:rsidR="00017A2B" w:rsidRPr="00BE35CA" w:rsidRDefault="00017A2B" w:rsidP="00F81DC5">
      <w:pPr>
        <w:pStyle w:val="EndnoteText"/>
        <w:ind w:left="284" w:hanging="284"/>
        <w:jc w:val="both"/>
        <w:rPr>
          <w:rFonts w:asciiTheme="minorHAnsi" w:hAnsiTheme="minorHAnsi"/>
          <w:sz w:val="18"/>
          <w:szCs w:val="18"/>
        </w:rPr>
      </w:pPr>
      <w:r w:rsidRPr="00BE35CA">
        <w:rPr>
          <w:rStyle w:val="EndnoteReference"/>
        </w:rPr>
        <w:endnoteRef/>
      </w:r>
      <w:r w:rsidRPr="00BE35CA">
        <w:rPr>
          <w:rFonts w:asciiTheme="minorHAnsi" w:hAnsiTheme="minorHAnsi"/>
          <w:sz w:val="18"/>
          <w:szCs w:val="18"/>
          <w:lang w:val="fr-BE"/>
        </w:rPr>
        <w:tab/>
        <w:t xml:space="preserve">Éric Archambault, Didier Amyot, Philippe Deschamps, Aurore Nicol, Françoise Provencher, Lise Rebout &amp; Guillaume Roberge. </w:t>
      </w:r>
      <w:r w:rsidRPr="00BE35CA">
        <w:rPr>
          <w:rFonts w:asciiTheme="minorHAnsi" w:hAnsiTheme="minorHAnsi"/>
          <w:sz w:val="18"/>
          <w:szCs w:val="18"/>
        </w:rPr>
        <w:t>Proportion of Open Access Papers Published in Peer-Reviewed Journals at the European and World Levels—1996–2013. European Commission, 2014.</w:t>
      </w:r>
    </w:p>
  </w:endnote>
  <w:endnote w:id="11">
    <w:p w:rsidR="00017A2B" w:rsidRPr="00BE35CA" w:rsidRDefault="00017A2B" w:rsidP="00F81DC5">
      <w:pPr>
        <w:pStyle w:val="EndnoteText"/>
        <w:ind w:left="284" w:hanging="284"/>
        <w:jc w:val="both"/>
      </w:pPr>
      <w:r w:rsidRPr="00BE35CA">
        <w:rPr>
          <w:rStyle w:val="EndnoteReference"/>
        </w:rPr>
        <w:endnoteRef/>
      </w:r>
      <w:r w:rsidRPr="00BE35CA">
        <w:tab/>
      </w:r>
      <w:r w:rsidRPr="00BE35CA">
        <w:rPr>
          <w:rFonts w:asciiTheme="minorHAnsi" w:hAnsiTheme="minorHAnsi"/>
          <w:bCs/>
          <w:sz w:val="18"/>
          <w:szCs w:val="18"/>
        </w:rPr>
        <w:t>Article Processing Charges (APC):</w:t>
      </w:r>
      <w:r w:rsidRPr="00BE35CA">
        <w:rPr>
          <w:rFonts w:asciiTheme="minorHAnsi" w:hAnsiTheme="minorHAnsi"/>
          <w:sz w:val="18"/>
          <w:szCs w:val="18"/>
        </w:rPr>
        <w:t xml:space="preserve"> ‘Author pays’ is the publishing model whereby the author, the author’s institute, or the research-funding agency, pays a fee to the publisher to place the publication in immediate and complete OA. This is opposed to the 'user pays' model, which is applied in traditional scientific publishing.</w:t>
      </w:r>
    </w:p>
  </w:endnote>
  <w:endnote w:id="12">
    <w:p w:rsidR="00017A2B" w:rsidRPr="00BE35CA" w:rsidRDefault="00017A2B" w:rsidP="00F81DC5">
      <w:pPr>
        <w:pStyle w:val="EndnoteText"/>
        <w:ind w:left="284" w:hanging="284"/>
        <w:jc w:val="both"/>
      </w:pPr>
      <w:r w:rsidRPr="00BE35CA">
        <w:rPr>
          <w:rStyle w:val="EndnoteReference"/>
        </w:rPr>
        <w:endnoteRef/>
      </w:r>
      <w:r w:rsidRPr="00BE35CA">
        <w:tab/>
      </w:r>
      <w:r>
        <w:rPr>
          <w:sz w:val="18"/>
          <w:szCs w:val="18"/>
        </w:rPr>
        <w:t>In 2015 these are</w:t>
      </w:r>
      <w:r w:rsidRPr="00BE35CA">
        <w:rPr>
          <w:sz w:val="18"/>
          <w:szCs w:val="18"/>
        </w:rPr>
        <w:t xml:space="preserve"> : Directory of </w:t>
      </w:r>
      <w:proofErr w:type="spellStart"/>
      <w:r w:rsidRPr="00BE35CA">
        <w:rPr>
          <w:sz w:val="18"/>
          <w:szCs w:val="18"/>
        </w:rPr>
        <w:t>OAJournals</w:t>
      </w:r>
      <w:proofErr w:type="spellEnd"/>
      <w:r w:rsidRPr="00BE35CA">
        <w:rPr>
          <w:sz w:val="18"/>
          <w:szCs w:val="18"/>
        </w:rPr>
        <w:t>/DOA</w:t>
      </w:r>
      <w:r>
        <w:rPr>
          <w:sz w:val="18"/>
          <w:szCs w:val="18"/>
        </w:rPr>
        <w:t>J (http://doaj.org/</w:t>
      </w:r>
      <w:r w:rsidRPr="00BE35CA">
        <w:rPr>
          <w:sz w:val="18"/>
          <w:szCs w:val="18"/>
        </w:rPr>
        <w:t>), Web of Science (http://ip-science.thomsonreuters.com/mjl/), Scopus or PubMed (http://www.ncbi.nlm.nih.gov/nlmcatalog/journals)</w:t>
      </w:r>
    </w:p>
  </w:endnote>
  <w:endnote w:id="13">
    <w:p w:rsidR="00017A2B" w:rsidRPr="00BE35CA" w:rsidRDefault="00017A2B" w:rsidP="00F81DC5">
      <w:pPr>
        <w:pStyle w:val="EndnoteText"/>
        <w:ind w:left="284" w:hanging="284"/>
        <w:contextualSpacing/>
        <w:jc w:val="both"/>
        <w:rPr>
          <w:sz w:val="18"/>
          <w:szCs w:val="18"/>
        </w:rPr>
      </w:pPr>
      <w:r w:rsidRPr="00BE35CA">
        <w:rPr>
          <w:rStyle w:val="EndnoteReference"/>
          <w:sz w:val="18"/>
          <w:szCs w:val="18"/>
        </w:rPr>
        <w:endnoteRef/>
      </w:r>
      <w:r w:rsidRPr="00BE35CA">
        <w:rPr>
          <w:sz w:val="18"/>
          <w:szCs w:val="18"/>
        </w:rPr>
        <w:t xml:space="preserve"> </w:t>
      </w:r>
      <w:r w:rsidRPr="00BE35CA">
        <w:rPr>
          <w:sz w:val="18"/>
          <w:szCs w:val="18"/>
        </w:rPr>
        <w:tab/>
        <w:t>In the case of an OA venue that has been founded very recently (in the last 12 months) and is therefore not yet registered in the DOAJ, it has to be clear from the journal’s website that the DOAJ criteria are fulfilled.</w:t>
      </w:r>
    </w:p>
  </w:endnote>
  <w:endnote w:id="14">
    <w:p w:rsidR="00017A2B" w:rsidRPr="00BE35CA" w:rsidRDefault="00017A2B" w:rsidP="00C80D85">
      <w:pPr>
        <w:pStyle w:val="EndnoteText"/>
        <w:ind w:left="284" w:hanging="284"/>
      </w:pPr>
      <w:r w:rsidRPr="00BE35CA">
        <w:rPr>
          <w:rStyle w:val="EndnoteReference"/>
        </w:rPr>
        <w:endnoteRef/>
      </w:r>
      <w:r w:rsidRPr="00BE35CA">
        <w:tab/>
      </w:r>
      <w:r w:rsidRPr="00BE35CA">
        <w:rPr>
          <w:sz w:val="18"/>
          <w:szCs w:val="18"/>
        </w:rPr>
        <w:t>https://doaj.org/bestpractice</w:t>
      </w:r>
    </w:p>
  </w:endnote>
  <w:endnote w:id="15">
    <w:p w:rsidR="00017A2B" w:rsidRPr="00BE35CA" w:rsidRDefault="00017A2B" w:rsidP="00F81DC5">
      <w:pPr>
        <w:pStyle w:val="EndnoteText"/>
        <w:ind w:left="284" w:hanging="284"/>
        <w:jc w:val="both"/>
      </w:pPr>
      <w:r w:rsidRPr="00BE35CA">
        <w:rPr>
          <w:rStyle w:val="EndnoteReference"/>
        </w:rPr>
        <w:endnoteRef/>
      </w:r>
      <w:r w:rsidRPr="00BE35CA">
        <w:rPr>
          <w:sz w:val="18"/>
          <w:szCs w:val="18"/>
        </w:rPr>
        <w:tab/>
        <w:t xml:space="preserve">1300 € is the median expense for APC in Austria, the Netherlands and the UK. </w:t>
      </w:r>
      <w:proofErr w:type="gramStart"/>
      <w:r w:rsidRPr="00BE35CA">
        <w:rPr>
          <w:sz w:val="18"/>
          <w:szCs w:val="18"/>
        </w:rPr>
        <w:t>See :</w:t>
      </w:r>
      <w:proofErr w:type="gramEnd"/>
      <w:r w:rsidRPr="00BE35CA">
        <w:rPr>
          <w:sz w:val="18"/>
          <w:szCs w:val="18"/>
        </w:rPr>
        <w:t xml:space="preserve"> Bo-</w:t>
      </w:r>
      <w:proofErr w:type="spellStart"/>
      <w:r w:rsidRPr="00BE35CA">
        <w:rPr>
          <w:sz w:val="18"/>
          <w:szCs w:val="18"/>
        </w:rPr>
        <w:t>Christer</w:t>
      </w:r>
      <w:proofErr w:type="spellEnd"/>
      <w:r w:rsidRPr="00BE35CA">
        <w:rPr>
          <w:sz w:val="18"/>
          <w:szCs w:val="18"/>
        </w:rPr>
        <w:t xml:space="preserve"> </w:t>
      </w:r>
      <w:proofErr w:type="spellStart"/>
      <w:r w:rsidRPr="00BE35CA">
        <w:rPr>
          <w:sz w:val="18"/>
          <w:szCs w:val="18"/>
        </w:rPr>
        <w:t>Björk</w:t>
      </w:r>
      <w:proofErr w:type="spellEnd"/>
      <w:r w:rsidRPr="00BE35CA">
        <w:rPr>
          <w:sz w:val="18"/>
          <w:szCs w:val="18"/>
        </w:rPr>
        <w:t xml:space="preserve"> and David Solomon, Developing an Effective Market for Open Access Article Processing Charges. Espoo, Finland and Haslett, Michigan, USA, 2014.</w:t>
      </w:r>
    </w:p>
  </w:endnote>
  <w:endnote w:id="16">
    <w:p w:rsidR="00017A2B" w:rsidRPr="00BE35CA" w:rsidRDefault="00017A2B" w:rsidP="005E44E3">
      <w:pPr>
        <w:pStyle w:val="EndnoteText"/>
        <w:ind w:left="284" w:hanging="284"/>
        <w:jc w:val="both"/>
      </w:pPr>
      <w:r w:rsidRPr="00BE35CA">
        <w:rPr>
          <w:rStyle w:val="EndnoteReference"/>
        </w:rPr>
        <w:endnoteRef/>
      </w:r>
      <w:r w:rsidRPr="00BE35CA">
        <w:rPr>
          <w:sz w:val="18"/>
          <w:szCs w:val="18"/>
        </w:rPr>
        <w:tab/>
        <w:t xml:space="preserve">With regard to Open Access to monographs, </w:t>
      </w:r>
      <w:proofErr w:type="gramStart"/>
      <w:r w:rsidRPr="00BE35CA">
        <w:rPr>
          <w:sz w:val="18"/>
          <w:szCs w:val="18"/>
        </w:rPr>
        <w:t>see :</w:t>
      </w:r>
      <w:proofErr w:type="gramEnd"/>
      <w:r w:rsidRPr="00BE35CA">
        <w:rPr>
          <w:sz w:val="18"/>
          <w:szCs w:val="18"/>
        </w:rPr>
        <w:t xml:space="preserve"> A project exploring Open Access monograph publishing in the Netherlands : Final Report. OAPEN Foundation, The Hague, 2013.</w:t>
      </w:r>
    </w:p>
  </w:endnote>
  <w:endnote w:id="17">
    <w:p w:rsidR="00017A2B" w:rsidRPr="00BE35CA" w:rsidRDefault="00017A2B" w:rsidP="00C80D85">
      <w:pPr>
        <w:pStyle w:val="EndnoteText"/>
        <w:ind w:left="284" w:hanging="284"/>
        <w:contextualSpacing/>
        <w:jc w:val="both"/>
        <w:rPr>
          <w:sz w:val="18"/>
          <w:szCs w:val="18"/>
        </w:rPr>
      </w:pPr>
      <w:r w:rsidRPr="00BE35CA">
        <w:rPr>
          <w:rStyle w:val="EndnoteReference"/>
          <w:sz w:val="18"/>
          <w:szCs w:val="18"/>
        </w:rPr>
        <w:endnoteRef/>
      </w:r>
      <w:r w:rsidRPr="00BE35CA">
        <w:rPr>
          <w:sz w:val="18"/>
          <w:szCs w:val="18"/>
        </w:rPr>
        <w:t xml:space="preserve"> </w:t>
      </w:r>
      <w:r w:rsidRPr="00BE35CA">
        <w:rPr>
          <w:sz w:val="18"/>
          <w:szCs w:val="18"/>
        </w:rPr>
        <w:tab/>
        <w:t>A hybrid OA journal is a subscription journal in which some of the articles are OA.</w:t>
      </w:r>
    </w:p>
  </w:endnote>
  <w:endnote w:id="18">
    <w:p w:rsidR="00017A2B" w:rsidRPr="00BE35CA" w:rsidRDefault="00017A2B" w:rsidP="00F81DC5">
      <w:pPr>
        <w:pStyle w:val="EndnoteText"/>
        <w:ind w:left="284" w:hanging="284"/>
        <w:contextualSpacing/>
        <w:jc w:val="both"/>
        <w:rPr>
          <w:sz w:val="18"/>
          <w:szCs w:val="18"/>
        </w:rPr>
      </w:pPr>
      <w:r w:rsidRPr="00BE35CA">
        <w:rPr>
          <w:rStyle w:val="EndnoteReference"/>
          <w:sz w:val="18"/>
          <w:szCs w:val="18"/>
        </w:rPr>
        <w:endnoteRef/>
      </w:r>
      <w:r w:rsidRPr="00BE35CA">
        <w:rPr>
          <w:sz w:val="18"/>
          <w:szCs w:val="18"/>
        </w:rPr>
        <w:t xml:space="preserve"> </w:t>
      </w:r>
      <w:r w:rsidRPr="00BE35CA">
        <w:rPr>
          <w:sz w:val="18"/>
          <w:szCs w:val="18"/>
        </w:rPr>
        <w:tab/>
        <w:t>Publishers practice 'double dipping' if they receive money twice: through subscriptions paid by libraries and APC paid by authors. Double dipping is too laborious to track.</w:t>
      </w:r>
    </w:p>
  </w:endnote>
  <w:endnote w:id="19">
    <w:p w:rsidR="00017A2B" w:rsidRPr="00BE35CA" w:rsidRDefault="00017A2B" w:rsidP="00F81DC5">
      <w:pPr>
        <w:pStyle w:val="EndnoteText"/>
        <w:ind w:left="284" w:hanging="284"/>
        <w:jc w:val="both"/>
        <w:rPr>
          <w:sz w:val="18"/>
        </w:rPr>
      </w:pPr>
      <w:r w:rsidRPr="00BE35CA">
        <w:rPr>
          <w:rStyle w:val="EndnoteReference"/>
        </w:rPr>
        <w:endnoteRef/>
      </w:r>
      <w:r w:rsidRPr="00BE35CA">
        <w:tab/>
      </w:r>
      <w:r w:rsidRPr="00BE35CA">
        <w:rPr>
          <w:sz w:val="18"/>
        </w:rPr>
        <w:t>This kind of APC ‘subscription’, brings down prices but it also binds earmarked APC funds to those deals, much to the detriment of smaller and innovative publishers. BELSPO will not support such deals.</w:t>
      </w:r>
    </w:p>
  </w:endnote>
  <w:endnote w:id="20">
    <w:p w:rsidR="00017A2B" w:rsidRPr="00BE35CA" w:rsidRDefault="00017A2B" w:rsidP="00F81DC5">
      <w:pPr>
        <w:pStyle w:val="EndnoteText"/>
        <w:ind w:left="284" w:hanging="284"/>
        <w:jc w:val="both"/>
      </w:pPr>
      <w:r w:rsidRPr="00BE35CA">
        <w:rPr>
          <w:rStyle w:val="EndnoteReference"/>
        </w:rPr>
        <w:endnoteRef/>
      </w:r>
      <w:r w:rsidRPr="00BE35CA">
        <w:tab/>
      </w:r>
      <w:proofErr w:type="gramStart"/>
      <w:r w:rsidRPr="00BE35CA">
        <w:t>e.g</w:t>
      </w:r>
      <w:proofErr w:type="gramEnd"/>
      <w:r w:rsidRPr="00BE35CA">
        <w:t>. APCs for CC-BY licenses are higher than those for CC-BY-NC licenses.</w:t>
      </w:r>
    </w:p>
  </w:endnote>
  <w:endnote w:id="21">
    <w:p w:rsidR="00017A2B" w:rsidRPr="00BE35CA" w:rsidRDefault="00017A2B" w:rsidP="00DC6965">
      <w:pPr>
        <w:pStyle w:val="EndnoteText"/>
        <w:ind w:left="284" w:hanging="284"/>
      </w:pPr>
      <w:r w:rsidRPr="00BE35CA">
        <w:rPr>
          <w:rStyle w:val="EndnoteReference"/>
        </w:rPr>
        <w:endnoteRef/>
      </w:r>
      <w:r w:rsidRPr="00BE35CA">
        <w:tab/>
      </w:r>
      <w:r w:rsidRPr="00BE35CA">
        <w:rPr>
          <w:rFonts w:asciiTheme="minorHAnsi" w:hAnsiTheme="minorHAnsi"/>
          <w:sz w:val="18"/>
          <w:szCs w:val="18"/>
        </w:rPr>
        <w:t>The 'Open Repository for Federal Organisations' (</w:t>
      </w:r>
      <w:proofErr w:type="spellStart"/>
      <w:r w:rsidRPr="00BE35CA">
        <w:rPr>
          <w:rFonts w:asciiTheme="minorHAnsi" w:hAnsiTheme="minorHAnsi"/>
          <w:sz w:val="18"/>
          <w:szCs w:val="18"/>
        </w:rPr>
        <w:t>Orfeo</w:t>
      </w:r>
      <w:proofErr w:type="spellEnd"/>
      <w:r w:rsidRPr="00BE35CA">
        <w:rPr>
          <w:rFonts w:asciiTheme="minorHAnsi" w:hAnsiTheme="minorHAnsi"/>
          <w:sz w:val="18"/>
          <w:szCs w:val="18"/>
        </w:rPr>
        <w:t>)</w:t>
      </w:r>
      <w:r>
        <w:rPr>
          <w:rFonts w:asciiTheme="minorHAnsi" w:hAnsiTheme="minorHAnsi"/>
          <w:sz w:val="18"/>
          <w:szCs w:val="18"/>
        </w:rPr>
        <w:t xml:space="preserve"> (</w:t>
      </w:r>
      <w:r w:rsidRPr="00017A2B">
        <w:rPr>
          <w:rFonts w:asciiTheme="minorHAnsi" w:hAnsiTheme="minorHAnsi"/>
          <w:sz w:val="18"/>
          <w:szCs w:val="18"/>
        </w:rPr>
        <w:t>https://orfeo.kbr.be</w:t>
      </w:r>
      <w:r>
        <w:rPr>
          <w:rFonts w:asciiTheme="minorHAnsi" w:hAnsiTheme="minorHAnsi"/>
          <w:sz w:val="18"/>
          <w:szCs w:val="18"/>
        </w:rPr>
        <w:t>)</w:t>
      </w:r>
      <w:r w:rsidRPr="00BE35CA">
        <w:rPr>
          <w:rFonts w:asciiTheme="minorHAnsi" w:hAnsiTheme="minorHAnsi"/>
          <w:sz w:val="18"/>
          <w:szCs w:val="18"/>
        </w:rPr>
        <w:t xml:space="preserve"> is BELSPO's institutional OA infrastructure at the service of 13 research and administration institutions (BELSPO, SIST-DWTI, </w:t>
      </w:r>
      <w:proofErr w:type="spellStart"/>
      <w:r w:rsidRPr="00BE35CA">
        <w:rPr>
          <w:rFonts w:asciiTheme="minorHAnsi" w:hAnsiTheme="minorHAnsi"/>
          <w:sz w:val="18"/>
          <w:szCs w:val="18"/>
        </w:rPr>
        <w:t>Belnet</w:t>
      </w:r>
      <w:proofErr w:type="spellEnd"/>
      <w:r w:rsidRPr="00BE35CA">
        <w:rPr>
          <w:rFonts w:asciiTheme="minorHAnsi" w:hAnsiTheme="minorHAnsi"/>
          <w:sz w:val="18"/>
          <w:szCs w:val="18"/>
        </w:rPr>
        <w:t xml:space="preserve">, Botanic Garden </w:t>
      </w:r>
      <w:proofErr w:type="spellStart"/>
      <w:r w:rsidRPr="00BE35CA">
        <w:rPr>
          <w:rFonts w:asciiTheme="minorHAnsi" w:hAnsiTheme="minorHAnsi"/>
          <w:sz w:val="18"/>
          <w:szCs w:val="18"/>
        </w:rPr>
        <w:t>Meise</w:t>
      </w:r>
      <w:proofErr w:type="spellEnd"/>
      <w:r w:rsidRPr="00BE35CA">
        <w:rPr>
          <w:rFonts w:asciiTheme="minorHAnsi" w:hAnsiTheme="minorHAnsi"/>
          <w:sz w:val="18"/>
          <w:szCs w:val="18"/>
        </w:rPr>
        <w:t>, MRAC-KMMA, IRBSN-KBIN, MRAH-KMKG, AGR-ARA, KBR, IRM-KMI, IASB-BIRA, ORB-KSB). Eventually, it will serve institutions from other federal departments as well, hence the heading.</w:t>
      </w:r>
    </w:p>
  </w:endnote>
  <w:endnote w:id="22">
    <w:p w:rsidR="00017A2B" w:rsidRPr="00BE35CA" w:rsidRDefault="00017A2B" w:rsidP="00F81DC5">
      <w:pPr>
        <w:pStyle w:val="EndnoteText"/>
        <w:ind w:left="284" w:hanging="284"/>
        <w:jc w:val="both"/>
        <w:rPr>
          <w:sz w:val="18"/>
        </w:rPr>
      </w:pPr>
      <w:r w:rsidRPr="00BE35CA">
        <w:rPr>
          <w:rStyle w:val="EndnoteReference"/>
        </w:rPr>
        <w:endnoteRef/>
      </w:r>
      <w:r w:rsidRPr="00BE35CA">
        <w:rPr>
          <w:sz w:val="18"/>
        </w:rPr>
        <w:tab/>
        <w:t>Should students be made to participate in BELSPO funded research projects by their dissertation director (promoter), their scientific publications should be deposited.</w:t>
      </w:r>
    </w:p>
  </w:endnote>
  <w:endnote w:id="23">
    <w:p w:rsidR="00017A2B" w:rsidRPr="00BE35CA" w:rsidRDefault="00017A2B" w:rsidP="004B4BE2">
      <w:pPr>
        <w:pStyle w:val="Default"/>
        <w:ind w:left="284" w:hanging="284"/>
        <w:jc w:val="both"/>
        <w:rPr>
          <w:rFonts w:ascii="Calibri" w:eastAsia="SimSun" w:hAnsi="Calibri" w:cs="font306"/>
          <w:color w:val="auto"/>
          <w:sz w:val="20"/>
          <w:szCs w:val="22"/>
          <w:lang w:val="en-GB" w:eastAsia="fa-IR" w:bidi="fa-IR"/>
        </w:rPr>
      </w:pPr>
      <w:r w:rsidRPr="00BE35CA">
        <w:rPr>
          <w:rStyle w:val="EndnoteReference"/>
          <w:rFonts w:ascii="Calibri" w:eastAsia="SimSun" w:hAnsi="Calibri" w:cs="font306"/>
          <w:color w:val="auto"/>
          <w:sz w:val="20"/>
          <w:szCs w:val="20"/>
          <w:lang w:val="en-GB" w:eastAsia="fa-IR" w:bidi="fa-IR"/>
        </w:rPr>
        <w:endnoteRef/>
      </w:r>
      <w:r w:rsidRPr="00BE35CA">
        <w:rPr>
          <w:rFonts w:ascii="Calibri" w:eastAsia="SimSun" w:hAnsi="Calibri" w:cs="font306"/>
          <w:color w:val="auto"/>
          <w:sz w:val="20"/>
          <w:szCs w:val="20"/>
          <w:lang w:val="en-GB" w:eastAsia="fa-IR" w:bidi="fa-IR"/>
        </w:rPr>
        <w:tab/>
      </w:r>
      <w:r w:rsidRPr="00BE35CA">
        <w:rPr>
          <w:rFonts w:ascii="Calibri" w:eastAsia="SimSun" w:hAnsi="Calibri" w:cs="font306"/>
          <w:color w:val="auto"/>
          <w:sz w:val="18"/>
          <w:szCs w:val="20"/>
          <w:lang w:val="en-GB" w:eastAsia="fa-IR" w:bidi="fa-IR"/>
        </w:rPr>
        <w:t xml:space="preserve">Metadata will be Dublin Core compatible, consistent with the metadata description provided by the </w:t>
      </w:r>
      <w:proofErr w:type="spellStart"/>
      <w:r w:rsidRPr="00BE35CA">
        <w:rPr>
          <w:rFonts w:ascii="Calibri" w:eastAsia="SimSun" w:hAnsi="Calibri" w:cs="font306"/>
          <w:color w:val="auto"/>
          <w:sz w:val="18"/>
          <w:szCs w:val="20"/>
          <w:lang w:val="en-GB" w:eastAsia="fa-IR" w:bidi="fa-IR"/>
        </w:rPr>
        <w:t>Orfeo</w:t>
      </w:r>
      <w:proofErr w:type="spellEnd"/>
      <w:r w:rsidRPr="00BE35CA">
        <w:rPr>
          <w:rFonts w:ascii="Calibri" w:eastAsia="SimSun" w:hAnsi="Calibri" w:cs="font306"/>
          <w:color w:val="auto"/>
          <w:sz w:val="18"/>
          <w:szCs w:val="20"/>
          <w:lang w:val="en-GB" w:eastAsia="fa-IR" w:bidi="fa-IR"/>
        </w:rPr>
        <w:t xml:space="preserve"> manual.</w:t>
      </w:r>
    </w:p>
  </w:endnote>
  <w:endnote w:id="24">
    <w:p w:rsidR="00017A2B" w:rsidRPr="00BE35CA" w:rsidRDefault="00017A2B" w:rsidP="004B4BE2">
      <w:pPr>
        <w:ind w:left="284" w:hanging="284"/>
        <w:jc w:val="both"/>
      </w:pPr>
      <w:r w:rsidRPr="00BE35CA">
        <w:rPr>
          <w:rStyle w:val="EndnoteReference"/>
        </w:rPr>
        <w:endnoteRef/>
      </w:r>
      <w:r w:rsidRPr="00BE35CA">
        <w:rPr>
          <w:rFonts w:asciiTheme="minorHAnsi" w:eastAsia="SimSun" w:hAnsiTheme="minorHAnsi" w:cs="font306"/>
          <w:sz w:val="18"/>
          <w:szCs w:val="18"/>
          <w:lang w:eastAsia="fa-IR" w:bidi="fa-IR"/>
        </w:rPr>
        <w:tab/>
        <w:t xml:space="preserve">In case of doctoral theses the dissertation director (promoter) will be an ad hoc default member of the BELSPO </w:t>
      </w:r>
      <w:proofErr w:type="spellStart"/>
      <w:r w:rsidRPr="00BE35CA">
        <w:rPr>
          <w:rFonts w:asciiTheme="minorHAnsi" w:eastAsia="SimSun" w:hAnsiTheme="minorHAnsi" w:cs="font306"/>
          <w:sz w:val="18"/>
          <w:szCs w:val="18"/>
          <w:lang w:eastAsia="fa-IR" w:bidi="fa-IR"/>
        </w:rPr>
        <w:t>Orfeo</w:t>
      </w:r>
      <w:proofErr w:type="spellEnd"/>
      <w:r w:rsidRPr="00BE35CA">
        <w:rPr>
          <w:rFonts w:asciiTheme="minorHAnsi" w:eastAsia="SimSun" w:hAnsiTheme="minorHAnsi" w:cs="font306"/>
          <w:sz w:val="18"/>
          <w:szCs w:val="18"/>
          <w:lang w:eastAsia="fa-IR" w:bidi="fa-IR"/>
        </w:rPr>
        <w:t xml:space="preserve"> Committee.</w:t>
      </w:r>
    </w:p>
  </w:endnote>
  <w:endnote w:id="25">
    <w:p w:rsidR="00017A2B" w:rsidRPr="00BE35CA" w:rsidRDefault="00017A2B" w:rsidP="00F81DC5">
      <w:pPr>
        <w:pStyle w:val="EndnoteText"/>
        <w:ind w:left="284" w:hanging="284"/>
        <w:jc w:val="both"/>
      </w:pPr>
      <w:r w:rsidRPr="00BE35CA">
        <w:rPr>
          <w:rStyle w:val="EndnoteReference"/>
        </w:rPr>
        <w:endnoteRef/>
      </w:r>
      <w:r w:rsidRPr="00BE35CA">
        <w:t xml:space="preserve"> </w:t>
      </w:r>
      <w:r w:rsidRPr="00BE35CA">
        <w:tab/>
      </w:r>
      <w:r w:rsidRPr="00BE35CA">
        <w:rPr>
          <w:sz w:val="18"/>
        </w:rPr>
        <w:t>This will enable search engines to index the metadata and make the existence of the article known.</w:t>
      </w:r>
    </w:p>
  </w:endnote>
  <w:endnote w:id="26">
    <w:p w:rsidR="00017A2B" w:rsidRPr="00BE35CA" w:rsidRDefault="00017A2B" w:rsidP="00F81DC5">
      <w:pPr>
        <w:pStyle w:val="EndnoteText"/>
        <w:ind w:left="284" w:hanging="284"/>
        <w:jc w:val="both"/>
        <w:rPr>
          <w:sz w:val="18"/>
        </w:rPr>
      </w:pPr>
      <w:r w:rsidRPr="00BE35CA">
        <w:rPr>
          <w:rStyle w:val="EndnoteReference"/>
        </w:rPr>
        <w:endnoteRef/>
      </w:r>
      <w:r w:rsidRPr="00BE35CA">
        <w:tab/>
      </w:r>
      <w:r w:rsidRPr="00BE35CA">
        <w:rPr>
          <w:sz w:val="18"/>
        </w:rPr>
        <w:t>The SHERPA-</w:t>
      </w:r>
      <w:proofErr w:type="spellStart"/>
      <w:r w:rsidRPr="00BE35CA">
        <w:rPr>
          <w:sz w:val="18"/>
        </w:rPr>
        <w:t>RoMEO</w:t>
      </w:r>
      <w:proofErr w:type="spellEnd"/>
      <w:r w:rsidRPr="00BE35CA">
        <w:rPr>
          <w:sz w:val="18"/>
        </w:rPr>
        <w:t xml:space="preserve"> website provides information about journal tolerance towards Green OA. This is the case two times out of three.</w:t>
      </w:r>
    </w:p>
  </w:endnote>
  <w:endnote w:id="27">
    <w:p w:rsidR="00017A2B" w:rsidRPr="00BE35CA" w:rsidRDefault="00017A2B" w:rsidP="00F81DC5">
      <w:pPr>
        <w:pStyle w:val="EndnoteText"/>
        <w:ind w:left="284" w:hanging="284"/>
        <w:jc w:val="both"/>
        <w:rPr>
          <w:sz w:val="18"/>
        </w:rPr>
      </w:pPr>
      <w:r w:rsidRPr="00BE35CA">
        <w:rPr>
          <w:rStyle w:val="EndnoteReference"/>
        </w:rPr>
        <w:endnoteRef/>
      </w:r>
      <w:r w:rsidRPr="00BE35CA">
        <w:tab/>
      </w:r>
      <w:r w:rsidRPr="00BE35CA">
        <w:rPr>
          <w:sz w:val="18"/>
        </w:rPr>
        <w:t>Creative Commons Attribution-</w:t>
      </w:r>
      <w:proofErr w:type="spellStart"/>
      <w:r w:rsidRPr="00BE35CA">
        <w:rPr>
          <w:sz w:val="18"/>
        </w:rPr>
        <w:t>NonCommercial</w:t>
      </w:r>
      <w:proofErr w:type="spellEnd"/>
      <w:r w:rsidRPr="00BE35CA">
        <w:rPr>
          <w:sz w:val="18"/>
        </w:rPr>
        <w:t>-</w:t>
      </w:r>
      <w:proofErr w:type="spellStart"/>
      <w:r w:rsidRPr="00BE35CA">
        <w:rPr>
          <w:sz w:val="18"/>
        </w:rPr>
        <w:t>ShareAlike</w:t>
      </w:r>
      <w:proofErr w:type="spellEnd"/>
      <w:r w:rsidRPr="00BE35CA">
        <w:rPr>
          <w:sz w:val="18"/>
        </w:rPr>
        <w:t>. This license lets others remix, tweak, and build upon your work non-commercially, as long as they credit you and license their new creations under the identical terms.</w:t>
      </w:r>
    </w:p>
  </w:endnote>
  <w:endnote w:id="28">
    <w:p w:rsidR="00017A2B" w:rsidRPr="005F4B08" w:rsidRDefault="00017A2B" w:rsidP="004C53A2">
      <w:pPr>
        <w:pStyle w:val="EndnoteText"/>
        <w:ind w:left="284" w:hanging="284"/>
        <w:rPr>
          <w:sz w:val="18"/>
        </w:rPr>
      </w:pPr>
      <w:r w:rsidRPr="00BE35CA">
        <w:rPr>
          <w:rStyle w:val="EndnoteReference"/>
        </w:rPr>
        <w:endnoteRef/>
      </w:r>
      <w:r w:rsidRPr="00BE35CA">
        <w:tab/>
      </w:r>
      <w:r w:rsidRPr="00BE35CA">
        <w:rPr>
          <w:sz w:val="18"/>
        </w:rPr>
        <w:t xml:space="preserve">For this purpose the only bibliography to be considered will be one drawn from </w:t>
      </w:r>
      <w:proofErr w:type="spellStart"/>
      <w:r w:rsidRPr="00BE35CA">
        <w:rPr>
          <w:sz w:val="18"/>
        </w:rPr>
        <w:t>Orfeo</w:t>
      </w:r>
      <w:proofErr w:type="spellEnd"/>
      <w:r w:rsidRPr="00BE35CA">
        <w:rPr>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panose1 w:val="020B05020505080203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font306">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86209"/>
      <w:docPartObj>
        <w:docPartGallery w:val="Page Numbers (Bottom of Page)"/>
        <w:docPartUnique/>
      </w:docPartObj>
    </w:sdtPr>
    <w:sdtEndPr>
      <w:rPr>
        <w:noProof/>
      </w:rPr>
    </w:sdtEndPr>
    <w:sdtContent>
      <w:p w:rsidR="00017A2B" w:rsidRDefault="00017A2B">
        <w:pPr>
          <w:pStyle w:val="Footer"/>
          <w:jc w:val="right"/>
        </w:pPr>
        <w:r>
          <w:fldChar w:fldCharType="begin"/>
        </w:r>
        <w:r>
          <w:instrText xml:space="preserve"> PAGE   \* MERGEFORMAT </w:instrText>
        </w:r>
        <w:r>
          <w:fldChar w:fldCharType="separate"/>
        </w:r>
        <w:r w:rsidR="00EB07E0">
          <w:rPr>
            <w:noProof/>
          </w:rPr>
          <w:t>1</w:t>
        </w:r>
        <w:r>
          <w:rPr>
            <w:noProof/>
          </w:rPr>
          <w:fldChar w:fldCharType="end"/>
        </w:r>
      </w:p>
    </w:sdtContent>
  </w:sdt>
  <w:p w:rsidR="00017A2B" w:rsidRPr="00B5112C" w:rsidRDefault="00017A2B">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12F" w:rsidRDefault="009B212F" w:rsidP="00B5112C">
      <w:r>
        <w:separator/>
      </w:r>
    </w:p>
  </w:footnote>
  <w:footnote w:type="continuationSeparator" w:id="0">
    <w:p w:rsidR="009B212F" w:rsidRDefault="009B212F" w:rsidP="00B51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7"/>
      <w:numFmt w:val="bullet"/>
      <w:lvlText w:val="-"/>
      <w:lvlJc w:val="left"/>
      <w:pPr>
        <w:tabs>
          <w:tab w:val="num" w:pos="0"/>
        </w:tabs>
        <w:ind w:left="360" w:hanging="360"/>
      </w:pPr>
      <w:rPr>
        <w:rFonts w:ascii="Calibri" w:hAnsi="Calibri"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14C659D"/>
    <w:multiLevelType w:val="hybridMultilevel"/>
    <w:tmpl w:val="F9BEAC0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05A94A78"/>
    <w:multiLevelType w:val="hybridMultilevel"/>
    <w:tmpl w:val="43E4F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D1714"/>
    <w:multiLevelType w:val="hybridMultilevel"/>
    <w:tmpl w:val="384ACB4A"/>
    <w:lvl w:ilvl="0" w:tplc="FEC0B5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0C1218"/>
    <w:multiLevelType w:val="hybridMultilevel"/>
    <w:tmpl w:val="C9929E52"/>
    <w:lvl w:ilvl="0" w:tplc="A0964580">
      <w:start w:val="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E4799E"/>
    <w:multiLevelType w:val="multilevel"/>
    <w:tmpl w:val="FA60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004CC1"/>
    <w:multiLevelType w:val="hybridMultilevel"/>
    <w:tmpl w:val="7A5EFE0E"/>
    <w:lvl w:ilvl="0" w:tplc="A0964580">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E3478C5"/>
    <w:multiLevelType w:val="hybridMultilevel"/>
    <w:tmpl w:val="BF829322"/>
    <w:lvl w:ilvl="0" w:tplc="A0964580">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EB95576"/>
    <w:multiLevelType w:val="hybridMultilevel"/>
    <w:tmpl w:val="CC2082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01B3946"/>
    <w:multiLevelType w:val="hybridMultilevel"/>
    <w:tmpl w:val="09207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953B6E"/>
    <w:multiLevelType w:val="hybridMultilevel"/>
    <w:tmpl w:val="53D814A0"/>
    <w:lvl w:ilvl="0" w:tplc="A0964580">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3862162"/>
    <w:multiLevelType w:val="hybridMultilevel"/>
    <w:tmpl w:val="D21E4934"/>
    <w:lvl w:ilvl="0" w:tplc="FEC0B5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FA16ED"/>
    <w:multiLevelType w:val="multilevel"/>
    <w:tmpl w:val="84A64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9"/>
  </w:num>
  <w:num w:numId="3">
    <w:abstractNumId w:val="5"/>
  </w:num>
  <w:num w:numId="4">
    <w:abstractNumId w:val="8"/>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12"/>
  </w:num>
  <w:num w:numId="12">
    <w:abstractNumId w:val="10"/>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59"/>
    <w:rsid w:val="00010759"/>
    <w:rsid w:val="00010DEF"/>
    <w:rsid w:val="0001516A"/>
    <w:rsid w:val="00017A2B"/>
    <w:rsid w:val="00034BC1"/>
    <w:rsid w:val="0004141B"/>
    <w:rsid w:val="00053D39"/>
    <w:rsid w:val="0005745A"/>
    <w:rsid w:val="000815CF"/>
    <w:rsid w:val="00085A76"/>
    <w:rsid w:val="000A0EF7"/>
    <w:rsid w:val="000A5892"/>
    <w:rsid w:val="000C3288"/>
    <w:rsid w:val="000C4E2A"/>
    <w:rsid w:val="000C620A"/>
    <w:rsid w:val="000D68C7"/>
    <w:rsid w:val="000E2CFF"/>
    <w:rsid w:val="000F3590"/>
    <w:rsid w:val="00103ED5"/>
    <w:rsid w:val="00117ADE"/>
    <w:rsid w:val="00123EB6"/>
    <w:rsid w:val="001261D9"/>
    <w:rsid w:val="001309E3"/>
    <w:rsid w:val="00146213"/>
    <w:rsid w:val="00151262"/>
    <w:rsid w:val="00154D10"/>
    <w:rsid w:val="00167C48"/>
    <w:rsid w:val="001733C6"/>
    <w:rsid w:val="00184E7A"/>
    <w:rsid w:val="00186E90"/>
    <w:rsid w:val="00190323"/>
    <w:rsid w:val="0019658E"/>
    <w:rsid w:val="001A52D9"/>
    <w:rsid w:val="001B704F"/>
    <w:rsid w:val="001B743B"/>
    <w:rsid w:val="001C6C1B"/>
    <w:rsid w:val="001D5213"/>
    <w:rsid w:val="001E27A9"/>
    <w:rsid w:val="001F7EE2"/>
    <w:rsid w:val="00212B02"/>
    <w:rsid w:val="00213150"/>
    <w:rsid w:val="00213888"/>
    <w:rsid w:val="00221278"/>
    <w:rsid w:val="00221CFE"/>
    <w:rsid w:val="00231825"/>
    <w:rsid w:val="002439FC"/>
    <w:rsid w:val="00245BA9"/>
    <w:rsid w:val="00252D99"/>
    <w:rsid w:val="00257943"/>
    <w:rsid w:val="002672DC"/>
    <w:rsid w:val="002A0DBF"/>
    <w:rsid w:val="002B2CA3"/>
    <w:rsid w:val="002C60C0"/>
    <w:rsid w:val="002D6A69"/>
    <w:rsid w:val="002E45EF"/>
    <w:rsid w:val="002F73C1"/>
    <w:rsid w:val="00314EB2"/>
    <w:rsid w:val="003168FD"/>
    <w:rsid w:val="00320777"/>
    <w:rsid w:val="0032413D"/>
    <w:rsid w:val="003433E6"/>
    <w:rsid w:val="003571F3"/>
    <w:rsid w:val="00363B34"/>
    <w:rsid w:val="003863D7"/>
    <w:rsid w:val="003E7A98"/>
    <w:rsid w:val="00400B07"/>
    <w:rsid w:val="004128E6"/>
    <w:rsid w:val="0041373D"/>
    <w:rsid w:val="00424ADF"/>
    <w:rsid w:val="00440ABF"/>
    <w:rsid w:val="00451B68"/>
    <w:rsid w:val="00453EEA"/>
    <w:rsid w:val="00454040"/>
    <w:rsid w:val="00464EC3"/>
    <w:rsid w:val="00465BD8"/>
    <w:rsid w:val="00472406"/>
    <w:rsid w:val="0048653A"/>
    <w:rsid w:val="00490282"/>
    <w:rsid w:val="0049120B"/>
    <w:rsid w:val="00491B74"/>
    <w:rsid w:val="00492A5E"/>
    <w:rsid w:val="004A1910"/>
    <w:rsid w:val="004A1A2F"/>
    <w:rsid w:val="004A615F"/>
    <w:rsid w:val="004B1770"/>
    <w:rsid w:val="004B2A2B"/>
    <w:rsid w:val="004B4BE2"/>
    <w:rsid w:val="004C1301"/>
    <w:rsid w:val="004C38E2"/>
    <w:rsid w:val="004C53A2"/>
    <w:rsid w:val="004D0237"/>
    <w:rsid w:val="004D0C9F"/>
    <w:rsid w:val="004D0DD3"/>
    <w:rsid w:val="004E1086"/>
    <w:rsid w:val="004E359F"/>
    <w:rsid w:val="004F2689"/>
    <w:rsid w:val="004F2DEF"/>
    <w:rsid w:val="004F3C4E"/>
    <w:rsid w:val="004F57A5"/>
    <w:rsid w:val="00505827"/>
    <w:rsid w:val="00513854"/>
    <w:rsid w:val="00520E3D"/>
    <w:rsid w:val="00520EFD"/>
    <w:rsid w:val="005232E2"/>
    <w:rsid w:val="00530042"/>
    <w:rsid w:val="00566FD1"/>
    <w:rsid w:val="00567226"/>
    <w:rsid w:val="005755A1"/>
    <w:rsid w:val="00584479"/>
    <w:rsid w:val="005854F7"/>
    <w:rsid w:val="00592271"/>
    <w:rsid w:val="00593DA4"/>
    <w:rsid w:val="005D257D"/>
    <w:rsid w:val="005D76C1"/>
    <w:rsid w:val="005E1D21"/>
    <w:rsid w:val="005E3483"/>
    <w:rsid w:val="005E44E3"/>
    <w:rsid w:val="005F4B08"/>
    <w:rsid w:val="006111AC"/>
    <w:rsid w:val="00630B81"/>
    <w:rsid w:val="00631EDC"/>
    <w:rsid w:val="006379C9"/>
    <w:rsid w:val="00644FA0"/>
    <w:rsid w:val="00650361"/>
    <w:rsid w:val="00651A34"/>
    <w:rsid w:val="006738CB"/>
    <w:rsid w:val="006854A5"/>
    <w:rsid w:val="0069492A"/>
    <w:rsid w:val="006B4BE4"/>
    <w:rsid w:val="006C3601"/>
    <w:rsid w:val="006C55C7"/>
    <w:rsid w:val="006D05A3"/>
    <w:rsid w:val="006D5D47"/>
    <w:rsid w:val="006F4485"/>
    <w:rsid w:val="006F6C95"/>
    <w:rsid w:val="007018D6"/>
    <w:rsid w:val="00707A3E"/>
    <w:rsid w:val="0072570B"/>
    <w:rsid w:val="00746042"/>
    <w:rsid w:val="00747326"/>
    <w:rsid w:val="00755626"/>
    <w:rsid w:val="00762187"/>
    <w:rsid w:val="00767A43"/>
    <w:rsid w:val="00790452"/>
    <w:rsid w:val="007A084E"/>
    <w:rsid w:val="007A2EFA"/>
    <w:rsid w:val="007A360E"/>
    <w:rsid w:val="007A7F7A"/>
    <w:rsid w:val="007B2583"/>
    <w:rsid w:val="007B5A61"/>
    <w:rsid w:val="007C5E6F"/>
    <w:rsid w:val="007D14F4"/>
    <w:rsid w:val="007D73EE"/>
    <w:rsid w:val="007F27CD"/>
    <w:rsid w:val="00801367"/>
    <w:rsid w:val="00821B3C"/>
    <w:rsid w:val="0082641C"/>
    <w:rsid w:val="008330BA"/>
    <w:rsid w:val="00855EE4"/>
    <w:rsid w:val="00863FF4"/>
    <w:rsid w:val="00870120"/>
    <w:rsid w:val="00893DA3"/>
    <w:rsid w:val="008A7E73"/>
    <w:rsid w:val="008B436C"/>
    <w:rsid w:val="008B7386"/>
    <w:rsid w:val="008C0957"/>
    <w:rsid w:val="008C1565"/>
    <w:rsid w:val="008D0B3F"/>
    <w:rsid w:val="008D190F"/>
    <w:rsid w:val="008E079D"/>
    <w:rsid w:val="008E75F9"/>
    <w:rsid w:val="008F18D8"/>
    <w:rsid w:val="008F656C"/>
    <w:rsid w:val="00900009"/>
    <w:rsid w:val="00903A62"/>
    <w:rsid w:val="00904682"/>
    <w:rsid w:val="009049EF"/>
    <w:rsid w:val="0091129E"/>
    <w:rsid w:val="00917DB9"/>
    <w:rsid w:val="00937563"/>
    <w:rsid w:val="00940A4E"/>
    <w:rsid w:val="009410CB"/>
    <w:rsid w:val="0094773A"/>
    <w:rsid w:val="00952440"/>
    <w:rsid w:val="00954815"/>
    <w:rsid w:val="00971A09"/>
    <w:rsid w:val="009937CB"/>
    <w:rsid w:val="00997956"/>
    <w:rsid w:val="009A4A31"/>
    <w:rsid w:val="009B212F"/>
    <w:rsid w:val="009B55E0"/>
    <w:rsid w:val="009B5773"/>
    <w:rsid w:val="009C5FE7"/>
    <w:rsid w:val="009D722E"/>
    <w:rsid w:val="009E321F"/>
    <w:rsid w:val="009F1910"/>
    <w:rsid w:val="00A3276E"/>
    <w:rsid w:val="00A360E8"/>
    <w:rsid w:val="00A40161"/>
    <w:rsid w:val="00A40C14"/>
    <w:rsid w:val="00A4227C"/>
    <w:rsid w:val="00A60700"/>
    <w:rsid w:val="00A62166"/>
    <w:rsid w:val="00A63692"/>
    <w:rsid w:val="00A67947"/>
    <w:rsid w:val="00A7459D"/>
    <w:rsid w:val="00AA0331"/>
    <w:rsid w:val="00AA1E50"/>
    <w:rsid w:val="00AA68AE"/>
    <w:rsid w:val="00AB1BE8"/>
    <w:rsid w:val="00AB51CD"/>
    <w:rsid w:val="00AB78C9"/>
    <w:rsid w:val="00AC41EF"/>
    <w:rsid w:val="00AD043A"/>
    <w:rsid w:val="00AD2342"/>
    <w:rsid w:val="00AE1C88"/>
    <w:rsid w:val="00AE7DE9"/>
    <w:rsid w:val="00B00FE4"/>
    <w:rsid w:val="00B10521"/>
    <w:rsid w:val="00B10DDE"/>
    <w:rsid w:val="00B1164C"/>
    <w:rsid w:val="00B12880"/>
    <w:rsid w:val="00B130E3"/>
    <w:rsid w:val="00B40963"/>
    <w:rsid w:val="00B43998"/>
    <w:rsid w:val="00B43D71"/>
    <w:rsid w:val="00B47225"/>
    <w:rsid w:val="00B50093"/>
    <w:rsid w:val="00B5112C"/>
    <w:rsid w:val="00B52125"/>
    <w:rsid w:val="00B52923"/>
    <w:rsid w:val="00B746D0"/>
    <w:rsid w:val="00B92B91"/>
    <w:rsid w:val="00B95702"/>
    <w:rsid w:val="00BB4C18"/>
    <w:rsid w:val="00BB56FF"/>
    <w:rsid w:val="00BB65E9"/>
    <w:rsid w:val="00BC1E11"/>
    <w:rsid w:val="00BC6219"/>
    <w:rsid w:val="00BC7B6C"/>
    <w:rsid w:val="00BD734B"/>
    <w:rsid w:val="00BE35CA"/>
    <w:rsid w:val="00BE649D"/>
    <w:rsid w:val="00BE6EFE"/>
    <w:rsid w:val="00BF2B2B"/>
    <w:rsid w:val="00C0433B"/>
    <w:rsid w:val="00C17694"/>
    <w:rsid w:val="00C20201"/>
    <w:rsid w:val="00C327CE"/>
    <w:rsid w:val="00C371BA"/>
    <w:rsid w:val="00C500B9"/>
    <w:rsid w:val="00C63836"/>
    <w:rsid w:val="00C73942"/>
    <w:rsid w:val="00C80D85"/>
    <w:rsid w:val="00C82CD9"/>
    <w:rsid w:val="00C9107C"/>
    <w:rsid w:val="00C94048"/>
    <w:rsid w:val="00CA56CA"/>
    <w:rsid w:val="00CB23D3"/>
    <w:rsid w:val="00CB4DFE"/>
    <w:rsid w:val="00CD3276"/>
    <w:rsid w:val="00CE1111"/>
    <w:rsid w:val="00CF48EC"/>
    <w:rsid w:val="00CF4E96"/>
    <w:rsid w:val="00D00F6D"/>
    <w:rsid w:val="00D0314F"/>
    <w:rsid w:val="00D10014"/>
    <w:rsid w:val="00D433C7"/>
    <w:rsid w:val="00D454AE"/>
    <w:rsid w:val="00D4690B"/>
    <w:rsid w:val="00D47F08"/>
    <w:rsid w:val="00D55CA4"/>
    <w:rsid w:val="00D62634"/>
    <w:rsid w:val="00D62D37"/>
    <w:rsid w:val="00D7441B"/>
    <w:rsid w:val="00D84E97"/>
    <w:rsid w:val="00D97F4F"/>
    <w:rsid w:val="00DA0AE0"/>
    <w:rsid w:val="00DC6965"/>
    <w:rsid w:val="00DD3EE6"/>
    <w:rsid w:val="00DD612A"/>
    <w:rsid w:val="00DE4EF7"/>
    <w:rsid w:val="00DF1B07"/>
    <w:rsid w:val="00E00482"/>
    <w:rsid w:val="00E12417"/>
    <w:rsid w:val="00E2092D"/>
    <w:rsid w:val="00E22811"/>
    <w:rsid w:val="00E22ADF"/>
    <w:rsid w:val="00E271B4"/>
    <w:rsid w:val="00E27931"/>
    <w:rsid w:val="00E30428"/>
    <w:rsid w:val="00E31C59"/>
    <w:rsid w:val="00E36467"/>
    <w:rsid w:val="00E4493F"/>
    <w:rsid w:val="00E516E2"/>
    <w:rsid w:val="00E641B6"/>
    <w:rsid w:val="00E67AC7"/>
    <w:rsid w:val="00E844CF"/>
    <w:rsid w:val="00EA2056"/>
    <w:rsid w:val="00EB07E0"/>
    <w:rsid w:val="00EB6AEF"/>
    <w:rsid w:val="00EC0435"/>
    <w:rsid w:val="00EC072D"/>
    <w:rsid w:val="00EE1509"/>
    <w:rsid w:val="00EF0BC3"/>
    <w:rsid w:val="00EF339F"/>
    <w:rsid w:val="00EF5722"/>
    <w:rsid w:val="00F003F3"/>
    <w:rsid w:val="00F02718"/>
    <w:rsid w:val="00F1319D"/>
    <w:rsid w:val="00F24DDF"/>
    <w:rsid w:val="00F352C3"/>
    <w:rsid w:val="00F35DA6"/>
    <w:rsid w:val="00F54C5C"/>
    <w:rsid w:val="00F57877"/>
    <w:rsid w:val="00F65201"/>
    <w:rsid w:val="00F654A8"/>
    <w:rsid w:val="00F73C37"/>
    <w:rsid w:val="00F76CB3"/>
    <w:rsid w:val="00F81DC5"/>
    <w:rsid w:val="00F85192"/>
    <w:rsid w:val="00F91E03"/>
    <w:rsid w:val="00F93159"/>
    <w:rsid w:val="00F943A8"/>
    <w:rsid w:val="00FA1004"/>
    <w:rsid w:val="00FC4B6A"/>
    <w:rsid w:val="00FD0811"/>
    <w:rsid w:val="00FD3EAC"/>
    <w:rsid w:val="00FF0DEB"/>
    <w:rsid w:val="00FF385A"/>
    <w:rsid w:val="00FF66A2"/>
    <w:rsid w:val="00FF6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F"/>
    <w:pPr>
      <w:spacing w:after="0" w:line="240" w:lineRule="auto"/>
    </w:pPr>
    <w:rPr>
      <w:rFonts w:ascii="Calibri" w:hAnsi="Calibri" w:cs="Calibri"/>
    </w:rPr>
  </w:style>
  <w:style w:type="paragraph" w:styleId="Heading2">
    <w:name w:val="heading 2"/>
    <w:basedOn w:val="Normal"/>
    <w:link w:val="Heading2Char"/>
    <w:uiPriority w:val="9"/>
    <w:qFormat/>
    <w:rsid w:val="0095244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C59"/>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95244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52440"/>
    <w:rPr>
      <w:color w:val="0000FF"/>
      <w:u w:val="single"/>
    </w:rPr>
  </w:style>
  <w:style w:type="character" w:styleId="HTMLCode">
    <w:name w:val="HTML Code"/>
    <w:basedOn w:val="DefaultParagraphFont"/>
    <w:uiPriority w:val="99"/>
    <w:semiHidden/>
    <w:unhideWhenUsed/>
    <w:rsid w:val="00952440"/>
    <w:rPr>
      <w:rFonts w:ascii="Courier New" w:eastAsia="Times New Roman" w:hAnsi="Courier New" w:cs="Courier New"/>
      <w:sz w:val="20"/>
      <w:szCs w:val="20"/>
    </w:rPr>
  </w:style>
  <w:style w:type="character" w:customStyle="1" w:styleId="mw-headline">
    <w:name w:val="mw-headline"/>
    <w:basedOn w:val="DefaultParagraphFont"/>
    <w:rsid w:val="00952440"/>
  </w:style>
  <w:style w:type="paragraph" w:customStyle="1" w:styleId="Default">
    <w:name w:val="Default"/>
    <w:rsid w:val="008F18D8"/>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BB65E9"/>
    <w:rPr>
      <w:rFonts w:ascii="Tahoma" w:hAnsi="Tahoma" w:cs="Tahoma"/>
      <w:sz w:val="16"/>
      <w:szCs w:val="16"/>
    </w:rPr>
  </w:style>
  <w:style w:type="character" w:customStyle="1" w:styleId="BalloonTextChar">
    <w:name w:val="Balloon Text Char"/>
    <w:basedOn w:val="DefaultParagraphFont"/>
    <w:link w:val="BalloonText"/>
    <w:uiPriority w:val="99"/>
    <w:semiHidden/>
    <w:rsid w:val="00BB65E9"/>
    <w:rPr>
      <w:rFonts w:ascii="Tahoma" w:hAnsi="Tahoma" w:cs="Tahoma"/>
      <w:sz w:val="16"/>
      <w:szCs w:val="16"/>
    </w:rPr>
  </w:style>
  <w:style w:type="paragraph" w:styleId="Header">
    <w:name w:val="header"/>
    <w:basedOn w:val="Normal"/>
    <w:link w:val="HeaderChar"/>
    <w:uiPriority w:val="99"/>
    <w:unhideWhenUsed/>
    <w:rsid w:val="00B5112C"/>
    <w:pPr>
      <w:tabs>
        <w:tab w:val="center" w:pos="4513"/>
        <w:tab w:val="right" w:pos="9026"/>
      </w:tabs>
    </w:pPr>
  </w:style>
  <w:style w:type="character" w:customStyle="1" w:styleId="HeaderChar">
    <w:name w:val="Header Char"/>
    <w:basedOn w:val="DefaultParagraphFont"/>
    <w:link w:val="Header"/>
    <w:uiPriority w:val="99"/>
    <w:rsid w:val="00B5112C"/>
    <w:rPr>
      <w:rFonts w:ascii="Calibri" w:hAnsi="Calibri" w:cs="Calibri"/>
    </w:rPr>
  </w:style>
  <w:style w:type="paragraph" w:styleId="Footer">
    <w:name w:val="footer"/>
    <w:basedOn w:val="Normal"/>
    <w:link w:val="FooterChar"/>
    <w:uiPriority w:val="99"/>
    <w:unhideWhenUsed/>
    <w:rsid w:val="00B5112C"/>
    <w:pPr>
      <w:tabs>
        <w:tab w:val="center" w:pos="4513"/>
        <w:tab w:val="right" w:pos="9026"/>
      </w:tabs>
    </w:pPr>
  </w:style>
  <w:style w:type="character" w:customStyle="1" w:styleId="FooterChar">
    <w:name w:val="Footer Char"/>
    <w:basedOn w:val="DefaultParagraphFont"/>
    <w:link w:val="Footer"/>
    <w:uiPriority w:val="99"/>
    <w:rsid w:val="00B5112C"/>
    <w:rPr>
      <w:rFonts w:ascii="Calibri" w:hAnsi="Calibri" w:cs="Calibri"/>
    </w:rPr>
  </w:style>
  <w:style w:type="table" w:styleId="TableGrid">
    <w:name w:val="Table Grid"/>
    <w:basedOn w:val="TableNormal"/>
    <w:rsid w:val="00F73C37"/>
    <w:pPr>
      <w:spacing w:after="0" w:line="240" w:lineRule="auto"/>
    </w:pPr>
    <w:rPr>
      <w:rFonts w:ascii="Times New Roman" w:eastAsia="Times New Roman" w:hAnsi="Times New Roman" w:cs="Times New Roman"/>
      <w:sz w:val="20"/>
      <w:szCs w:val="20"/>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A0EF7"/>
    <w:rPr>
      <w:rFonts w:cstheme="minorBidi"/>
      <w:szCs w:val="21"/>
    </w:rPr>
  </w:style>
  <w:style w:type="character" w:customStyle="1" w:styleId="PlainTextChar">
    <w:name w:val="Plain Text Char"/>
    <w:basedOn w:val="DefaultParagraphFont"/>
    <w:link w:val="PlainText"/>
    <w:uiPriority w:val="99"/>
    <w:semiHidden/>
    <w:rsid w:val="000A0EF7"/>
    <w:rPr>
      <w:rFonts w:ascii="Calibri" w:hAnsi="Calibri"/>
      <w:szCs w:val="21"/>
    </w:rPr>
  </w:style>
  <w:style w:type="paragraph" w:customStyle="1" w:styleId="OSTCbodytext">
    <w:name w:val="OSTC_body text"/>
    <w:basedOn w:val="Normal"/>
    <w:uiPriority w:val="99"/>
    <w:rsid w:val="000A0EF7"/>
    <w:pPr>
      <w:jc w:val="both"/>
    </w:pPr>
    <w:rPr>
      <w:rFonts w:ascii="CG Omega" w:eastAsia="Times New Roman" w:hAnsi="CG Omega" w:cs="Times New Roman"/>
      <w:szCs w:val="20"/>
      <w:lang w:val="nl-NL"/>
    </w:rPr>
  </w:style>
  <w:style w:type="paragraph" w:customStyle="1" w:styleId="Standard">
    <w:name w:val="Standard"/>
    <w:rsid w:val="000A0EF7"/>
    <w:pPr>
      <w:widowControl w:val="0"/>
      <w:suppressAutoHyphens/>
      <w:autoSpaceDN w:val="0"/>
      <w:spacing w:after="0" w:line="240" w:lineRule="auto"/>
    </w:pPr>
    <w:rPr>
      <w:rFonts w:ascii="Times New Roman" w:eastAsia="SimSun" w:hAnsi="Times New Roman" w:cs="Mangal"/>
      <w:kern w:val="3"/>
      <w:sz w:val="24"/>
      <w:szCs w:val="24"/>
      <w:lang w:val="fr-BE" w:eastAsia="zh-CN" w:bidi="hi-IN"/>
    </w:rPr>
  </w:style>
  <w:style w:type="character" w:customStyle="1" w:styleId="FootnoteReference1">
    <w:name w:val="Footnote Reference1"/>
    <w:rsid w:val="00F57877"/>
    <w:rPr>
      <w:vertAlign w:val="superscript"/>
    </w:rPr>
  </w:style>
  <w:style w:type="character" w:styleId="FootnoteReference">
    <w:name w:val="footnote reference"/>
    <w:rsid w:val="00F57877"/>
    <w:rPr>
      <w:vertAlign w:val="superscript"/>
    </w:rPr>
  </w:style>
  <w:style w:type="character" w:styleId="EndnoteReference">
    <w:name w:val="endnote reference"/>
    <w:rsid w:val="00F57877"/>
    <w:rPr>
      <w:vertAlign w:val="superscript"/>
    </w:rPr>
  </w:style>
  <w:style w:type="paragraph" w:styleId="ListParagraph">
    <w:name w:val="List Paragraph"/>
    <w:basedOn w:val="Normal"/>
    <w:qFormat/>
    <w:rsid w:val="00F57877"/>
    <w:pPr>
      <w:suppressAutoHyphens/>
      <w:ind w:left="720"/>
    </w:pPr>
    <w:rPr>
      <w:rFonts w:eastAsia="SimSun" w:cs="font306"/>
      <w:lang w:eastAsia="fa-IR" w:bidi="fa-IR"/>
    </w:rPr>
  </w:style>
  <w:style w:type="paragraph" w:customStyle="1" w:styleId="FootnoteText1">
    <w:name w:val="Footnote Text1"/>
    <w:basedOn w:val="Normal"/>
    <w:rsid w:val="00F57877"/>
    <w:pPr>
      <w:suppressAutoHyphens/>
    </w:pPr>
    <w:rPr>
      <w:rFonts w:eastAsia="SimSun" w:cs="font306"/>
      <w:sz w:val="20"/>
      <w:szCs w:val="20"/>
      <w:lang w:eastAsia="fa-IR" w:bidi="fa-IR"/>
    </w:rPr>
  </w:style>
  <w:style w:type="paragraph" w:styleId="EndnoteText">
    <w:name w:val="endnote text"/>
    <w:basedOn w:val="Normal"/>
    <w:link w:val="EndnoteTextChar"/>
    <w:uiPriority w:val="99"/>
    <w:semiHidden/>
    <w:unhideWhenUsed/>
    <w:rsid w:val="00F57877"/>
    <w:pPr>
      <w:suppressAutoHyphens/>
    </w:pPr>
    <w:rPr>
      <w:rFonts w:eastAsia="SimSun" w:cs="font306"/>
      <w:sz w:val="20"/>
      <w:szCs w:val="20"/>
      <w:lang w:eastAsia="fa-IR" w:bidi="fa-IR"/>
    </w:rPr>
  </w:style>
  <w:style w:type="character" w:customStyle="1" w:styleId="EndnoteTextChar">
    <w:name w:val="Endnote Text Char"/>
    <w:basedOn w:val="DefaultParagraphFont"/>
    <w:link w:val="EndnoteText"/>
    <w:uiPriority w:val="99"/>
    <w:semiHidden/>
    <w:rsid w:val="00F57877"/>
    <w:rPr>
      <w:rFonts w:ascii="Calibri" w:eastAsia="SimSun" w:hAnsi="Calibri" w:cs="font306"/>
      <w:sz w:val="20"/>
      <w:szCs w:val="20"/>
      <w:lang w:eastAsia="fa-IR" w:bidi="fa-IR"/>
    </w:rPr>
  </w:style>
  <w:style w:type="character" w:customStyle="1" w:styleId="FootnoteReference2">
    <w:name w:val="Footnote Reference2"/>
    <w:rsid w:val="00103ED5"/>
    <w:rPr>
      <w:vertAlign w:val="superscript"/>
    </w:rPr>
  </w:style>
  <w:style w:type="paragraph" w:customStyle="1" w:styleId="FootnoteText2">
    <w:name w:val="Footnote Text2"/>
    <w:basedOn w:val="Normal"/>
    <w:rsid w:val="00103ED5"/>
    <w:pPr>
      <w:suppressAutoHyphens/>
    </w:pPr>
    <w:rPr>
      <w:rFonts w:eastAsia="SimSun" w:cs="font306"/>
      <w:sz w:val="20"/>
      <w:szCs w:val="20"/>
      <w:lang w:eastAsia="fa-IR" w:bidi="fa-IR"/>
    </w:rPr>
  </w:style>
  <w:style w:type="paragraph" w:styleId="FootnoteText">
    <w:name w:val="footnote text"/>
    <w:basedOn w:val="Normal"/>
    <w:link w:val="FootnoteTextChar"/>
    <w:uiPriority w:val="99"/>
    <w:semiHidden/>
    <w:unhideWhenUsed/>
    <w:rsid w:val="00A3276E"/>
    <w:rPr>
      <w:sz w:val="20"/>
      <w:szCs w:val="20"/>
    </w:rPr>
  </w:style>
  <w:style w:type="character" w:customStyle="1" w:styleId="FootnoteTextChar">
    <w:name w:val="Footnote Text Char"/>
    <w:basedOn w:val="DefaultParagraphFont"/>
    <w:link w:val="FootnoteText"/>
    <w:uiPriority w:val="99"/>
    <w:semiHidden/>
    <w:rsid w:val="00A3276E"/>
    <w:rPr>
      <w:rFonts w:ascii="Calibri" w:hAnsi="Calibri" w:cs="Calibri"/>
      <w:sz w:val="20"/>
      <w:szCs w:val="20"/>
    </w:rPr>
  </w:style>
  <w:style w:type="character" w:styleId="Strong">
    <w:name w:val="Strong"/>
    <w:basedOn w:val="DefaultParagraphFont"/>
    <w:uiPriority w:val="22"/>
    <w:qFormat/>
    <w:rsid w:val="00513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F"/>
    <w:pPr>
      <w:spacing w:after="0" w:line="240" w:lineRule="auto"/>
    </w:pPr>
    <w:rPr>
      <w:rFonts w:ascii="Calibri" w:hAnsi="Calibri" w:cs="Calibri"/>
    </w:rPr>
  </w:style>
  <w:style w:type="paragraph" w:styleId="Heading2">
    <w:name w:val="heading 2"/>
    <w:basedOn w:val="Normal"/>
    <w:link w:val="Heading2Char"/>
    <w:uiPriority w:val="9"/>
    <w:qFormat/>
    <w:rsid w:val="0095244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C59"/>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95244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52440"/>
    <w:rPr>
      <w:color w:val="0000FF"/>
      <w:u w:val="single"/>
    </w:rPr>
  </w:style>
  <w:style w:type="character" w:styleId="HTMLCode">
    <w:name w:val="HTML Code"/>
    <w:basedOn w:val="DefaultParagraphFont"/>
    <w:uiPriority w:val="99"/>
    <w:semiHidden/>
    <w:unhideWhenUsed/>
    <w:rsid w:val="00952440"/>
    <w:rPr>
      <w:rFonts w:ascii="Courier New" w:eastAsia="Times New Roman" w:hAnsi="Courier New" w:cs="Courier New"/>
      <w:sz w:val="20"/>
      <w:szCs w:val="20"/>
    </w:rPr>
  </w:style>
  <w:style w:type="character" w:customStyle="1" w:styleId="mw-headline">
    <w:name w:val="mw-headline"/>
    <w:basedOn w:val="DefaultParagraphFont"/>
    <w:rsid w:val="00952440"/>
  </w:style>
  <w:style w:type="paragraph" w:customStyle="1" w:styleId="Default">
    <w:name w:val="Default"/>
    <w:rsid w:val="008F18D8"/>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BB65E9"/>
    <w:rPr>
      <w:rFonts w:ascii="Tahoma" w:hAnsi="Tahoma" w:cs="Tahoma"/>
      <w:sz w:val="16"/>
      <w:szCs w:val="16"/>
    </w:rPr>
  </w:style>
  <w:style w:type="character" w:customStyle="1" w:styleId="BalloonTextChar">
    <w:name w:val="Balloon Text Char"/>
    <w:basedOn w:val="DefaultParagraphFont"/>
    <w:link w:val="BalloonText"/>
    <w:uiPriority w:val="99"/>
    <w:semiHidden/>
    <w:rsid w:val="00BB65E9"/>
    <w:rPr>
      <w:rFonts w:ascii="Tahoma" w:hAnsi="Tahoma" w:cs="Tahoma"/>
      <w:sz w:val="16"/>
      <w:szCs w:val="16"/>
    </w:rPr>
  </w:style>
  <w:style w:type="paragraph" w:styleId="Header">
    <w:name w:val="header"/>
    <w:basedOn w:val="Normal"/>
    <w:link w:val="HeaderChar"/>
    <w:uiPriority w:val="99"/>
    <w:unhideWhenUsed/>
    <w:rsid w:val="00B5112C"/>
    <w:pPr>
      <w:tabs>
        <w:tab w:val="center" w:pos="4513"/>
        <w:tab w:val="right" w:pos="9026"/>
      </w:tabs>
    </w:pPr>
  </w:style>
  <w:style w:type="character" w:customStyle="1" w:styleId="HeaderChar">
    <w:name w:val="Header Char"/>
    <w:basedOn w:val="DefaultParagraphFont"/>
    <w:link w:val="Header"/>
    <w:uiPriority w:val="99"/>
    <w:rsid w:val="00B5112C"/>
    <w:rPr>
      <w:rFonts w:ascii="Calibri" w:hAnsi="Calibri" w:cs="Calibri"/>
    </w:rPr>
  </w:style>
  <w:style w:type="paragraph" w:styleId="Footer">
    <w:name w:val="footer"/>
    <w:basedOn w:val="Normal"/>
    <w:link w:val="FooterChar"/>
    <w:uiPriority w:val="99"/>
    <w:unhideWhenUsed/>
    <w:rsid w:val="00B5112C"/>
    <w:pPr>
      <w:tabs>
        <w:tab w:val="center" w:pos="4513"/>
        <w:tab w:val="right" w:pos="9026"/>
      </w:tabs>
    </w:pPr>
  </w:style>
  <w:style w:type="character" w:customStyle="1" w:styleId="FooterChar">
    <w:name w:val="Footer Char"/>
    <w:basedOn w:val="DefaultParagraphFont"/>
    <w:link w:val="Footer"/>
    <w:uiPriority w:val="99"/>
    <w:rsid w:val="00B5112C"/>
    <w:rPr>
      <w:rFonts w:ascii="Calibri" w:hAnsi="Calibri" w:cs="Calibri"/>
    </w:rPr>
  </w:style>
  <w:style w:type="table" w:styleId="TableGrid">
    <w:name w:val="Table Grid"/>
    <w:basedOn w:val="TableNormal"/>
    <w:rsid w:val="00F73C37"/>
    <w:pPr>
      <w:spacing w:after="0" w:line="240" w:lineRule="auto"/>
    </w:pPr>
    <w:rPr>
      <w:rFonts w:ascii="Times New Roman" w:eastAsia="Times New Roman" w:hAnsi="Times New Roman" w:cs="Times New Roman"/>
      <w:sz w:val="20"/>
      <w:szCs w:val="20"/>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A0EF7"/>
    <w:rPr>
      <w:rFonts w:cstheme="minorBidi"/>
      <w:szCs w:val="21"/>
    </w:rPr>
  </w:style>
  <w:style w:type="character" w:customStyle="1" w:styleId="PlainTextChar">
    <w:name w:val="Plain Text Char"/>
    <w:basedOn w:val="DefaultParagraphFont"/>
    <w:link w:val="PlainText"/>
    <w:uiPriority w:val="99"/>
    <w:semiHidden/>
    <w:rsid w:val="000A0EF7"/>
    <w:rPr>
      <w:rFonts w:ascii="Calibri" w:hAnsi="Calibri"/>
      <w:szCs w:val="21"/>
    </w:rPr>
  </w:style>
  <w:style w:type="paragraph" w:customStyle="1" w:styleId="OSTCbodytext">
    <w:name w:val="OSTC_body text"/>
    <w:basedOn w:val="Normal"/>
    <w:uiPriority w:val="99"/>
    <w:rsid w:val="000A0EF7"/>
    <w:pPr>
      <w:jc w:val="both"/>
    </w:pPr>
    <w:rPr>
      <w:rFonts w:ascii="CG Omega" w:eastAsia="Times New Roman" w:hAnsi="CG Omega" w:cs="Times New Roman"/>
      <w:szCs w:val="20"/>
      <w:lang w:val="nl-NL"/>
    </w:rPr>
  </w:style>
  <w:style w:type="paragraph" w:customStyle="1" w:styleId="Standard">
    <w:name w:val="Standard"/>
    <w:rsid w:val="000A0EF7"/>
    <w:pPr>
      <w:widowControl w:val="0"/>
      <w:suppressAutoHyphens/>
      <w:autoSpaceDN w:val="0"/>
      <w:spacing w:after="0" w:line="240" w:lineRule="auto"/>
    </w:pPr>
    <w:rPr>
      <w:rFonts w:ascii="Times New Roman" w:eastAsia="SimSun" w:hAnsi="Times New Roman" w:cs="Mangal"/>
      <w:kern w:val="3"/>
      <w:sz w:val="24"/>
      <w:szCs w:val="24"/>
      <w:lang w:val="fr-BE" w:eastAsia="zh-CN" w:bidi="hi-IN"/>
    </w:rPr>
  </w:style>
  <w:style w:type="character" w:customStyle="1" w:styleId="FootnoteReference1">
    <w:name w:val="Footnote Reference1"/>
    <w:rsid w:val="00F57877"/>
    <w:rPr>
      <w:vertAlign w:val="superscript"/>
    </w:rPr>
  </w:style>
  <w:style w:type="character" w:styleId="FootnoteReference">
    <w:name w:val="footnote reference"/>
    <w:rsid w:val="00F57877"/>
    <w:rPr>
      <w:vertAlign w:val="superscript"/>
    </w:rPr>
  </w:style>
  <w:style w:type="character" w:styleId="EndnoteReference">
    <w:name w:val="endnote reference"/>
    <w:rsid w:val="00F57877"/>
    <w:rPr>
      <w:vertAlign w:val="superscript"/>
    </w:rPr>
  </w:style>
  <w:style w:type="paragraph" w:styleId="ListParagraph">
    <w:name w:val="List Paragraph"/>
    <w:basedOn w:val="Normal"/>
    <w:qFormat/>
    <w:rsid w:val="00F57877"/>
    <w:pPr>
      <w:suppressAutoHyphens/>
      <w:ind w:left="720"/>
    </w:pPr>
    <w:rPr>
      <w:rFonts w:eastAsia="SimSun" w:cs="font306"/>
      <w:lang w:eastAsia="fa-IR" w:bidi="fa-IR"/>
    </w:rPr>
  </w:style>
  <w:style w:type="paragraph" w:customStyle="1" w:styleId="FootnoteText1">
    <w:name w:val="Footnote Text1"/>
    <w:basedOn w:val="Normal"/>
    <w:rsid w:val="00F57877"/>
    <w:pPr>
      <w:suppressAutoHyphens/>
    </w:pPr>
    <w:rPr>
      <w:rFonts w:eastAsia="SimSun" w:cs="font306"/>
      <w:sz w:val="20"/>
      <w:szCs w:val="20"/>
      <w:lang w:eastAsia="fa-IR" w:bidi="fa-IR"/>
    </w:rPr>
  </w:style>
  <w:style w:type="paragraph" w:styleId="EndnoteText">
    <w:name w:val="endnote text"/>
    <w:basedOn w:val="Normal"/>
    <w:link w:val="EndnoteTextChar"/>
    <w:uiPriority w:val="99"/>
    <w:semiHidden/>
    <w:unhideWhenUsed/>
    <w:rsid w:val="00F57877"/>
    <w:pPr>
      <w:suppressAutoHyphens/>
    </w:pPr>
    <w:rPr>
      <w:rFonts w:eastAsia="SimSun" w:cs="font306"/>
      <w:sz w:val="20"/>
      <w:szCs w:val="20"/>
      <w:lang w:eastAsia="fa-IR" w:bidi="fa-IR"/>
    </w:rPr>
  </w:style>
  <w:style w:type="character" w:customStyle="1" w:styleId="EndnoteTextChar">
    <w:name w:val="Endnote Text Char"/>
    <w:basedOn w:val="DefaultParagraphFont"/>
    <w:link w:val="EndnoteText"/>
    <w:uiPriority w:val="99"/>
    <w:semiHidden/>
    <w:rsid w:val="00F57877"/>
    <w:rPr>
      <w:rFonts w:ascii="Calibri" w:eastAsia="SimSun" w:hAnsi="Calibri" w:cs="font306"/>
      <w:sz w:val="20"/>
      <w:szCs w:val="20"/>
      <w:lang w:eastAsia="fa-IR" w:bidi="fa-IR"/>
    </w:rPr>
  </w:style>
  <w:style w:type="character" w:customStyle="1" w:styleId="FootnoteReference2">
    <w:name w:val="Footnote Reference2"/>
    <w:rsid w:val="00103ED5"/>
    <w:rPr>
      <w:vertAlign w:val="superscript"/>
    </w:rPr>
  </w:style>
  <w:style w:type="paragraph" w:customStyle="1" w:styleId="FootnoteText2">
    <w:name w:val="Footnote Text2"/>
    <w:basedOn w:val="Normal"/>
    <w:rsid w:val="00103ED5"/>
    <w:pPr>
      <w:suppressAutoHyphens/>
    </w:pPr>
    <w:rPr>
      <w:rFonts w:eastAsia="SimSun" w:cs="font306"/>
      <w:sz w:val="20"/>
      <w:szCs w:val="20"/>
      <w:lang w:eastAsia="fa-IR" w:bidi="fa-IR"/>
    </w:rPr>
  </w:style>
  <w:style w:type="paragraph" w:styleId="FootnoteText">
    <w:name w:val="footnote text"/>
    <w:basedOn w:val="Normal"/>
    <w:link w:val="FootnoteTextChar"/>
    <w:uiPriority w:val="99"/>
    <w:semiHidden/>
    <w:unhideWhenUsed/>
    <w:rsid w:val="00A3276E"/>
    <w:rPr>
      <w:sz w:val="20"/>
      <w:szCs w:val="20"/>
    </w:rPr>
  </w:style>
  <w:style w:type="character" w:customStyle="1" w:styleId="FootnoteTextChar">
    <w:name w:val="Footnote Text Char"/>
    <w:basedOn w:val="DefaultParagraphFont"/>
    <w:link w:val="FootnoteText"/>
    <w:uiPriority w:val="99"/>
    <w:semiHidden/>
    <w:rsid w:val="00A3276E"/>
    <w:rPr>
      <w:rFonts w:ascii="Calibri" w:hAnsi="Calibri" w:cs="Calibri"/>
      <w:sz w:val="20"/>
      <w:szCs w:val="20"/>
    </w:rPr>
  </w:style>
  <w:style w:type="character" w:styleId="Strong">
    <w:name w:val="Strong"/>
    <w:basedOn w:val="DefaultParagraphFont"/>
    <w:uiPriority w:val="22"/>
    <w:qFormat/>
    <w:rsid w:val="00513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2784">
      <w:bodyDiv w:val="1"/>
      <w:marLeft w:val="0"/>
      <w:marRight w:val="0"/>
      <w:marTop w:val="0"/>
      <w:marBottom w:val="0"/>
      <w:divBdr>
        <w:top w:val="none" w:sz="0" w:space="0" w:color="auto"/>
        <w:left w:val="none" w:sz="0" w:space="0" w:color="auto"/>
        <w:bottom w:val="none" w:sz="0" w:space="0" w:color="auto"/>
        <w:right w:val="none" w:sz="0" w:space="0" w:color="auto"/>
      </w:divBdr>
    </w:div>
    <w:div w:id="1655065305">
      <w:bodyDiv w:val="1"/>
      <w:marLeft w:val="0"/>
      <w:marRight w:val="0"/>
      <w:marTop w:val="0"/>
      <w:marBottom w:val="0"/>
      <w:divBdr>
        <w:top w:val="none" w:sz="0" w:space="0" w:color="auto"/>
        <w:left w:val="none" w:sz="0" w:space="0" w:color="auto"/>
        <w:bottom w:val="none" w:sz="0" w:space="0" w:color="auto"/>
        <w:right w:val="none" w:sz="0" w:space="0" w:color="auto"/>
      </w:divBdr>
    </w:div>
    <w:div w:id="2022656683">
      <w:bodyDiv w:val="1"/>
      <w:marLeft w:val="0"/>
      <w:marRight w:val="0"/>
      <w:marTop w:val="0"/>
      <w:marBottom w:val="0"/>
      <w:divBdr>
        <w:top w:val="none" w:sz="0" w:space="0" w:color="auto"/>
        <w:left w:val="none" w:sz="0" w:space="0" w:color="auto"/>
        <w:bottom w:val="none" w:sz="0" w:space="0" w:color="auto"/>
        <w:right w:val="none" w:sz="0" w:space="0" w:color="auto"/>
      </w:divBdr>
      <w:divsChild>
        <w:div w:id="438834974">
          <w:marLeft w:val="0"/>
          <w:marRight w:val="0"/>
          <w:marTop w:val="0"/>
          <w:marBottom w:val="0"/>
          <w:divBdr>
            <w:top w:val="none" w:sz="0" w:space="0" w:color="auto"/>
            <w:left w:val="none" w:sz="0" w:space="0" w:color="auto"/>
            <w:bottom w:val="none" w:sz="0" w:space="0" w:color="auto"/>
            <w:right w:val="none" w:sz="0" w:space="0" w:color="auto"/>
          </w:divBdr>
          <w:divsChild>
            <w:div w:id="1059325519">
              <w:marLeft w:val="0"/>
              <w:marRight w:val="0"/>
              <w:marTop w:val="0"/>
              <w:marBottom w:val="0"/>
              <w:divBdr>
                <w:top w:val="none" w:sz="0" w:space="0" w:color="auto"/>
                <w:left w:val="none" w:sz="0" w:space="0" w:color="auto"/>
                <w:bottom w:val="none" w:sz="0" w:space="0" w:color="auto"/>
                <w:right w:val="none" w:sz="0" w:space="0" w:color="auto"/>
              </w:divBdr>
              <w:divsChild>
                <w:div w:id="16588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hyperlink" Target="https://www.belspo.be/belspo/coordination/doc/scienPol/20160428%20National%20ERA%20Roadmap%20V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D4227-81D2-413A-9C1B-AA7A0B80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LAUREYS Eric</dc:creator>
  <cp:lastModifiedBy>LAUREYS Eric</cp:lastModifiedBy>
  <cp:revision>6</cp:revision>
  <cp:lastPrinted>2017-12-19T16:17:00Z</cp:lastPrinted>
  <dcterms:created xsi:type="dcterms:W3CDTF">2017-12-18T11:48:00Z</dcterms:created>
  <dcterms:modified xsi:type="dcterms:W3CDTF">2017-12-21T14:21:00Z</dcterms:modified>
</cp:coreProperties>
</file>